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F0F6" w14:textId="0EB6010B" w:rsidR="009C7607" w:rsidRDefault="00000000">
      <w:pPr>
        <w:pStyle w:val="Title"/>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Article title is written </w:t>
      </w:r>
      <w:r w:rsidR="00A743A8" w:rsidRPr="00A743A8">
        <w:rPr>
          <w:rFonts w:ascii="Times New Roman" w:eastAsia="Times New Roman" w:hAnsi="Times New Roman" w:cs="Times New Roman"/>
          <w:sz w:val="28"/>
          <w:szCs w:val="28"/>
          <w:u w:val="single"/>
        </w:rPr>
        <w:t>SENTENCE CASE</w:t>
      </w:r>
      <w:r w:rsidR="00A743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briefly and condensed in line with content substance (</w:t>
      </w:r>
      <w:proofErr w:type="spellStart"/>
      <w:r>
        <w:rPr>
          <w:rFonts w:ascii="Times New Roman" w:eastAsia="Times New Roman" w:hAnsi="Times New Roman" w:cs="Times New Roman"/>
          <w:sz w:val="28"/>
          <w:szCs w:val="28"/>
        </w:rPr>
        <w:t>Centred</w:t>
      </w:r>
      <w:proofErr w:type="spellEnd"/>
      <w:r>
        <w:rPr>
          <w:rFonts w:ascii="Times New Roman" w:eastAsia="Times New Roman" w:hAnsi="Times New Roman" w:cs="Times New Roman"/>
          <w:sz w:val="28"/>
          <w:szCs w:val="28"/>
        </w:rPr>
        <w:t>, Bold, Time News Roman 14, Maximum 12 words excluding function words)</w:t>
      </w:r>
    </w:p>
    <w:p w14:paraId="5EB4CE2E" w14:textId="77777777" w:rsidR="009C7607" w:rsidRDefault="00000000">
      <w:pPr>
        <w:jc w:val="center"/>
        <w:rPr>
          <w:b/>
          <w:smallCaps/>
          <w:sz w:val="28"/>
          <w:szCs w:val="28"/>
        </w:rPr>
      </w:pPr>
      <w:r>
        <w:rPr>
          <w:b/>
          <w:smallCaps/>
          <w:sz w:val="28"/>
          <w:szCs w:val="28"/>
        </w:rPr>
        <w:t xml:space="preserve"> </w:t>
      </w:r>
    </w:p>
    <w:p w14:paraId="5956991F" w14:textId="77777777" w:rsidR="009C7607" w:rsidRDefault="00000000">
      <w:pPr>
        <w:widowControl w:val="0"/>
        <w:spacing w:line="239" w:lineRule="auto"/>
        <w:ind w:firstLine="0"/>
        <w:jc w:val="center"/>
        <w:rPr>
          <w:color w:val="000000"/>
          <w:vertAlign w:val="subscript"/>
        </w:rPr>
      </w:pPr>
      <w:r>
        <w:rPr>
          <w:color w:val="000000"/>
        </w:rPr>
        <w:t>First writer</w:t>
      </w:r>
      <w:r>
        <w:rPr>
          <w:color w:val="000000"/>
          <w:vertAlign w:val="superscript"/>
        </w:rPr>
        <w:t>1*</w:t>
      </w:r>
      <w:r>
        <w:rPr>
          <w:color w:val="000000"/>
        </w:rPr>
        <w:t>, Second writer</w:t>
      </w:r>
      <w:r>
        <w:rPr>
          <w:color w:val="000000"/>
          <w:vertAlign w:val="superscript"/>
        </w:rPr>
        <w:t>2</w:t>
      </w:r>
      <w:r>
        <w:rPr>
          <w:color w:val="000000"/>
        </w:rPr>
        <w:t>, Third writer</w:t>
      </w:r>
      <w:r>
        <w:rPr>
          <w:color w:val="000000"/>
          <w:vertAlign w:val="superscript"/>
        </w:rPr>
        <w:t>3</w:t>
      </w:r>
      <w:r>
        <w:rPr>
          <w:color w:val="000000"/>
          <w:vertAlign w:val="subscript"/>
        </w:rPr>
        <w:t xml:space="preserve"> </w:t>
      </w:r>
      <w:r>
        <w:rPr>
          <w:color w:val="000000"/>
        </w:rPr>
        <w:t>(complete name without titles)</w:t>
      </w:r>
    </w:p>
    <w:p w14:paraId="6A3D0F01" w14:textId="77777777" w:rsidR="009C7607" w:rsidRDefault="00000000">
      <w:pPr>
        <w:widowControl w:val="0"/>
        <w:spacing w:line="239" w:lineRule="auto"/>
        <w:ind w:firstLine="0"/>
        <w:jc w:val="center"/>
        <w:rPr>
          <w:color w:val="000000"/>
        </w:rPr>
      </w:pPr>
      <w:r>
        <w:rPr>
          <w:color w:val="000000"/>
        </w:rPr>
        <w:t xml:space="preserve"> </w:t>
      </w:r>
      <w:r>
        <w:rPr>
          <w:color w:val="000000"/>
          <w:vertAlign w:val="superscript"/>
        </w:rPr>
        <w:t>1</w:t>
      </w:r>
      <w:r>
        <w:rPr>
          <w:color w:val="000000"/>
        </w:rPr>
        <w:t xml:space="preserve">affiliation (faculty, university/institution and country); </w:t>
      </w:r>
      <w:r>
        <w:rPr>
          <w:color w:val="000000"/>
          <w:vertAlign w:val="superscript"/>
        </w:rPr>
        <w:t>2</w:t>
      </w:r>
      <w:r>
        <w:rPr>
          <w:color w:val="000000"/>
        </w:rPr>
        <w:t xml:space="preserve">affiliation (faculty, university/institution and country); </w:t>
      </w:r>
      <w:r>
        <w:rPr>
          <w:color w:val="000000"/>
          <w:vertAlign w:val="superscript"/>
        </w:rPr>
        <w:t>3</w:t>
      </w:r>
      <w:r>
        <w:rPr>
          <w:color w:val="000000"/>
        </w:rPr>
        <w:t>affiliation (faculty, university/institution and country) in row format</w:t>
      </w:r>
    </w:p>
    <w:p w14:paraId="437583E9" w14:textId="77777777" w:rsidR="009C7607" w:rsidRDefault="00000000">
      <w:pPr>
        <w:widowControl w:val="0"/>
        <w:spacing w:line="239" w:lineRule="auto"/>
        <w:ind w:firstLine="0"/>
        <w:jc w:val="center"/>
        <w:rPr>
          <w:color w:val="0000FF"/>
          <w:u w:val="single"/>
        </w:rPr>
      </w:pPr>
      <w:r>
        <w:rPr>
          <w:color w:val="000000"/>
        </w:rPr>
        <w:t xml:space="preserve">*Email: </w:t>
      </w:r>
      <w:hyperlink r:id="rId7">
        <w:r w:rsidR="009C7607">
          <w:rPr>
            <w:color w:val="0000FF"/>
            <w:u w:val="single"/>
          </w:rPr>
          <w:t>writer@email.ac.id</w:t>
        </w:r>
      </w:hyperlink>
      <w:r>
        <w:rPr>
          <w:color w:val="0000FF"/>
          <w:u w:val="single"/>
        </w:rPr>
        <w:t xml:space="preserve"> (corresponding author)</w:t>
      </w:r>
    </w:p>
    <w:p w14:paraId="0E5266BA" w14:textId="77777777" w:rsidR="009C7607" w:rsidRDefault="009C7607">
      <w:pPr>
        <w:ind w:firstLine="0"/>
        <w:rPr>
          <w:b/>
          <w:smallCaps/>
          <w:sz w:val="28"/>
          <w:szCs w:val="28"/>
        </w:rPr>
      </w:pPr>
    </w:p>
    <w:p w14:paraId="0A3BA253" w14:textId="77777777" w:rsidR="009C7607" w:rsidRDefault="00000000">
      <w:pPr>
        <w:ind w:firstLine="0"/>
      </w:pPr>
      <w:r>
        <w:rPr>
          <w:b/>
        </w:rPr>
        <w:t>Abstract</w:t>
      </w:r>
      <w:r>
        <w:t>: consisting of statements of the research purpose, method, subjects, instruments,  data collection, data analysis, and research findings. Title and abstract are written in two languages (Indonesian and English), each abstract in one paragraph, one line space, and within 150</w:t>
      </w:r>
      <w:r>
        <w:rPr>
          <w:rFonts w:ascii="Arial" w:eastAsia="Arial" w:hAnsi="Arial" w:cs="Arial"/>
        </w:rPr>
        <w:t>-</w:t>
      </w:r>
      <w:r>
        <w:t xml:space="preserve">180 words. </w:t>
      </w:r>
    </w:p>
    <w:p w14:paraId="2CCEF8D6" w14:textId="77777777" w:rsidR="009C7607" w:rsidRDefault="009C7607"/>
    <w:p w14:paraId="1B2CE371" w14:textId="77777777" w:rsidR="009C7607" w:rsidRDefault="00000000">
      <w:pPr>
        <w:widowControl w:val="0"/>
        <w:pBdr>
          <w:bottom w:val="single" w:sz="4" w:space="1" w:color="000000"/>
        </w:pBdr>
        <w:ind w:firstLine="0"/>
        <w:jc w:val="both"/>
        <w:rPr>
          <w:i/>
          <w:color w:val="000000"/>
        </w:rPr>
      </w:pPr>
      <w:r>
        <w:rPr>
          <w:b/>
          <w:color w:val="000000"/>
        </w:rPr>
        <w:t>Keywords</w:t>
      </w:r>
      <w:r>
        <w:rPr>
          <w:color w:val="000000"/>
        </w:rPr>
        <w:t>:</w:t>
      </w:r>
      <w:r>
        <w:rPr>
          <w:b/>
          <w:color w:val="000000"/>
        </w:rPr>
        <w:t xml:space="preserve"> </w:t>
      </w:r>
      <w:r>
        <w:rPr>
          <w:i/>
          <w:color w:val="000000"/>
        </w:rPr>
        <w:t xml:space="preserve">containing important terms from the contents of the article, providing reference guides for readers to locate the article, 3-5 terms (words or phrases), and written  under the abstract, bold and </w:t>
      </w:r>
      <w:proofErr w:type="spellStart"/>
      <w:r>
        <w:rPr>
          <w:i/>
          <w:color w:val="000000"/>
        </w:rPr>
        <w:t>italized</w:t>
      </w:r>
      <w:proofErr w:type="spellEnd"/>
      <w:r>
        <w:rPr>
          <w:i/>
          <w:color w:val="000000"/>
        </w:rPr>
        <w:t>.</w:t>
      </w:r>
    </w:p>
    <w:p w14:paraId="241E1449" w14:textId="77777777" w:rsidR="009C7607" w:rsidRDefault="009C7607">
      <w:pPr>
        <w:pBdr>
          <w:bottom w:val="single" w:sz="4" w:space="1" w:color="000000"/>
        </w:pBdr>
        <w:ind w:firstLine="0"/>
        <w:rPr>
          <w:b/>
          <w:color w:val="000000"/>
        </w:rPr>
      </w:pPr>
    </w:p>
    <w:p w14:paraId="30FCEAC5" w14:textId="77777777" w:rsidR="009C7607" w:rsidRDefault="00000000">
      <w:pPr>
        <w:pBdr>
          <w:top w:val="single" w:sz="4" w:space="1" w:color="000000"/>
          <w:bottom w:val="single" w:sz="4" w:space="1" w:color="000000"/>
        </w:pBdr>
        <w:ind w:firstLine="0"/>
        <w:jc w:val="both"/>
        <w:rPr>
          <w:color w:val="000000"/>
        </w:rPr>
      </w:pPr>
      <w:r>
        <w:rPr>
          <w:color w:val="000000"/>
        </w:rPr>
        <w:t>How to Cite (APA 7</w:t>
      </w:r>
      <w:r>
        <w:rPr>
          <w:color w:val="000000"/>
          <w:vertAlign w:val="superscript"/>
        </w:rPr>
        <w:t>th</w:t>
      </w:r>
      <w:r>
        <w:rPr>
          <w:color w:val="000000"/>
        </w:rPr>
        <w:t xml:space="preserve"> Style): Author</w:t>
      </w:r>
      <w:r>
        <w:rPr>
          <w:color w:val="000000"/>
          <w:vertAlign w:val="superscript"/>
        </w:rPr>
        <w:t>1</w:t>
      </w:r>
      <w:r>
        <w:rPr>
          <w:color w:val="000000"/>
        </w:rPr>
        <w:t>, Author</w:t>
      </w:r>
      <w:r>
        <w:rPr>
          <w:color w:val="000000"/>
          <w:vertAlign w:val="superscript"/>
        </w:rPr>
        <w:t>2</w:t>
      </w:r>
      <w:r>
        <w:rPr>
          <w:color w:val="000000"/>
        </w:rPr>
        <w:t>, &amp; Author</w:t>
      </w:r>
      <w:r>
        <w:rPr>
          <w:color w:val="000000"/>
          <w:vertAlign w:val="superscript"/>
        </w:rPr>
        <w:t>3</w:t>
      </w:r>
      <w:r>
        <w:rPr>
          <w:color w:val="000000"/>
        </w:rPr>
        <w:t xml:space="preserve">. (Year). Article tittle. </w:t>
      </w:r>
      <w:proofErr w:type="spellStart"/>
      <w:r>
        <w:rPr>
          <w:i/>
          <w:color w:val="000000"/>
        </w:rPr>
        <w:t>Jurnal</w:t>
      </w:r>
      <w:proofErr w:type="spellEnd"/>
      <w:r>
        <w:rPr>
          <w:i/>
          <w:color w:val="000000"/>
        </w:rPr>
        <w:t xml:space="preserve"> </w:t>
      </w:r>
      <w:proofErr w:type="spellStart"/>
      <w:r>
        <w:rPr>
          <w:i/>
          <w:color w:val="000000"/>
        </w:rPr>
        <w:t>Kependidikan</w:t>
      </w:r>
      <w:proofErr w:type="spellEnd"/>
      <w:r>
        <w:rPr>
          <w:color w:val="000000"/>
        </w:rPr>
        <w:t xml:space="preserve">, </w:t>
      </w:r>
      <w:r>
        <w:rPr>
          <w:i/>
          <w:color w:val="000000"/>
        </w:rPr>
        <w:t>vol</w:t>
      </w:r>
      <w:r>
        <w:rPr>
          <w:color w:val="000000"/>
        </w:rPr>
        <w:t>(number), pages.</w:t>
      </w:r>
    </w:p>
    <w:p w14:paraId="71C74E85" w14:textId="77777777" w:rsidR="009C7607" w:rsidRDefault="009C7607">
      <w:pPr>
        <w:ind w:firstLine="0"/>
        <w:rPr>
          <w:b/>
          <w:color w:val="000000"/>
        </w:rPr>
      </w:pPr>
    </w:p>
    <w:p w14:paraId="061C450C" w14:textId="77777777" w:rsidR="009C7607" w:rsidRDefault="00000000">
      <w:pPr>
        <w:widowControl w:val="0"/>
        <w:ind w:hanging="90"/>
        <w:rPr>
          <w:color w:val="000000"/>
        </w:rPr>
      </w:pPr>
      <w:r>
        <w:rPr>
          <w:b/>
          <w:color w:val="000000"/>
        </w:rPr>
        <w:t>INTRODUCTION (Including theoretical framework)</w:t>
      </w:r>
    </w:p>
    <w:p w14:paraId="0591933D" w14:textId="77777777" w:rsidR="009C7607" w:rsidRDefault="00000000">
      <w:pPr>
        <w:widowControl w:val="0"/>
        <w:jc w:val="both"/>
      </w:pPr>
      <w:r>
        <w:rPr>
          <w:i/>
          <w:color w:val="000000"/>
        </w:rPr>
        <w:tab/>
      </w:r>
      <w:r>
        <w:rPr>
          <w:color w:val="000000"/>
        </w:rPr>
        <w:t>Containing, among others, the background of the problem, explication of the problem, and the gap between the ideal and the factual supported by relevant theories and recent research results, new values or usefulness of the study, and finally the objectives of the study. This section is written more or less 20% of the body of the article including the title and abstract.  The article is between 4,000 and 6,000 words in length including the title, abstract, tables, and references.</w:t>
      </w:r>
    </w:p>
    <w:p w14:paraId="3CCA2F47" w14:textId="77777777" w:rsidR="009C7607" w:rsidRDefault="009C7607">
      <w:pPr>
        <w:widowControl w:val="0"/>
        <w:jc w:val="both"/>
        <w:rPr>
          <w:color w:val="000000"/>
        </w:rPr>
      </w:pPr>
    </w:p>
    <w:p w14:paraId="33847F66" w14:textId="77777777" w:rsidR="009C7607" w:rsidRDefault="00000000">
      <w:pPr>
        <w:widowControl w:val="0"/>
        <w:ind w:firstLine="0"/>
        <w:jc w:val="both"/>
        <w:rPr>
          <w:color w:val="000000"/>
        </w:rPr>
      </w:pPr>
      <w:r>
        <w:rPr>
          <w:b/>
          <w:color w:val="000000"/>
        </w:rPr>
        <w:t>METHOD</w:t>
      </w:r>
    </w:p>
    <w:p w14:paraId="7D184644" w14:textId="77777777" w:rsidR="009C7607" w:rsidRDefault="00000000">
      <w:pPr>
        <w:widowControl w:val="0"/>
        <w:ind w:firstLine="720"/>
        <w:jc w:val="both"/>
        <w:rPr>
          <w:b/>
        </w:rPr>
      </w:pPr>
      <w:r>
        <w:rPr>
          <w:color w:val="000000"/>
        </w:rPr>
        <w:t xml:space="preserve">This section is written concisely and clearly but sufficiently that it can be replicated. It covers the research approach, participants, procedure, instrumentation, and data collection technique and analysis. If needed, attachments can be appended concerning specifications of the research instruments and materials. This section covers at the maximum of </w:t>
      </w:r>
      <w:r>
        <w:t>15% (for quantitative research) of the article body.</w:t>
      </w:r>
    </w:p>
    <w:p w14:paraId="274C9338" w14:textId="77777777" w:rsidR="009C7607" w:rsidRDefault="009C7607">
      <w:pPr>
        <w:ind w:firstLine="0"/>
        <w:rPr>
          <w:b/>
          <w:color w:val="000000"/>
        </w:rPr>
      </w:pPr>
    </w:p>
    <w:p w14:paraId="3FB89034" w14:textId="77777777" w:rsidR="009C7607" w:rsidRDefault="00000000">
      <w:pPr>
        <w:widowControl w:val="0"/>
        <w:ind w:firstLine="0"/>
      </w:pPr>
      <w:r>
        <w:rPr>
          <w:b/>
        </w:rPr>
        <w:t>FINDINGS AND DISCUSSION</w:t>
      </w:r>
    </w:p>
    <w:p w14:paraId="2680F1F6" w14:textId="77777777" w:rsidR="009C7607" w:rsidRDefault="00000000">
      <w:pPr>
        <w:widowControl w:val="0"/>
        <w:ind w:firstLine="720"/>
        <w:jc w:val="both"/>
        <w:rPr>
          <w:b/>
        </w:rPr>
      </w:pPr>
      <w:r>
        <w:t xml:space="preserve">In order to accommodate easy reading and understanding, the research results are presented first a d then followed by the discussion. The finding and discussion sections must be presented in two separate sections. This will be the longest section (minimum 60%) of the whole article. </w:t>
      </w:r>
    </w:p>
    <w:p w14:paraId="3BCF2064" w14:textId="77777777" w:rsidR="009C7607" w:rsidRDefault="009C7607">
      <w:pPr>
        <w:ind w:firstLine="0"/>
        <w:rPr>
          <w:b/>
          <w:color w:val="000000"/>
        </w:rPr>
      </w:pPr>
    </w:p>
    <w:p w14:paraId="141A74BF" w14:textId="77777777" w:rsidR="009C7607" w:rsidRDefault="009C7607">
      <w:pPr>
        <w:ind w:firstLine="0"/>
        <w:rPr>
          <w:b/>
          <w:color w:val="000000"/>
        </w:rPr>
      </w:pPr>
    </w:p>
    <w:p w14:paraId="55FD83C0" w14:textId="77777777" w:rsidR="009C7607" w:rsidRDefault="009C7607">
      <w:pPr>
        <w:ind w:firstLine="0"/>
        <w:rPr>
          <w:b/>
          <w:color w:val="000000"/>
        </w:rPr>
      </w:pPr>
    </w:p>
    <w:p w14:paraId="1ADDB00A" w14:textId="77777777" w:rsidR="00616DF1" w:rsidRDefault="00616DF1">
      <w:pPr>
        <w:ind w:firstLine="0"/>
        <w:rPr>
          <w:b/>
          <w:color w:val="000000"/>
        </w:rPr>
      </w:pPr>
    </w:p>
    <w:p w14:paraId="79B437B6" w14:textId="77777777" w:rsidR="009C7607" w:rsidRDefault="009C7607">
      <w:pPr>
        <w:ind w:firstLine="0"/>
        <w:rPr>
          <w:b/>
          <w:color w:val="000000"/>
        </w:rPr>
      </w:pPr>
    </w:p>
    <w:p w14:paraId="11CA2E97" w14:textId="77777777" w:rsidR="009C7607" w:rsidRDefault="00000000">
      <w:pPr>
        <w:ind w:firstLine="0"/>
        <w:rPr>
          <w:b/>
        </w:rPr>
      </w:pPr>
      <w:r>
        <w:rPr>
          <w:b/>
        </w:rPr>
        <w:lastRenderedPageBreak/>
        <w:t>Findings</w:t>
      </w:r>
    </w:p>
    <w:p w14:paraId="146A18DF" w14:textId="77777777" w:rsidR="009C7607" w:rsidRDefault="00000000">
      <w:pPr>
        <w:jc w:val="both"/>
      </w:pPr>
      <w:r>
        <w:tab/>
        <w:t xml:space="preserve">Research results can be presented in the forms of tables, graphs, verbal descriptions, or any </w:t>
      </w:r>
      <w:proofErr w:type="gramStart"/>
      <w:r>
        <w:t>combinations</w:t>
      </w:r>
      <w:proofErr w:type="gramEnd"/>
      <w:r>
        <w:t xml:space="preserve"> of these three formats. The writing of tables is shown in Table 1. The font of the table contents is TNR 12. </w:t>
      </w:r>
    </w:p>
    <w:p w14:paraId="4548D776" w14:textId="77777777" w:rsidR="009C7607" w:rsidRDefault="009C7607"/>
    <w:p w14:paraId="167EA967" w14:textId="77777777" w:rsidR="009C7607" w:rsidRDefault="00000000">
      <w:pPr>
        <w:ind w:left="284" w:hanging="493"/>
        <w:rPr>
          <w:b/>
          <w:color w:val="000000"/>
        </w:rPr>
      </w:pPr>
      <w:r>
        <w:rPr>
          <w:b/>
          <w:color w:val="000000"/>
        </w:rPr>
        <w:t>Table 1. Weightings of the Lengths of the Article Sections</w:t>
      </w:r>
    </w:p>
    <w:tbl>
      <w:tblPr>
        <w:tblStyle w:val="Style63"/>
        <w:tblW w:w="8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626"/>
        <w:gridCol w:w="1343"/>
        <w:gridCol w:w="4111"/>
      </w:tblGrid>
      <w:tr w:rsidR="009C7607" w14:paraId="69344C75" w14:textId="77777777">
        <w:trPr>
          <w:jc w:val="center"/>
        </w:trPr>
        <w:tc>
          <w:tcPr>
            <w:tcW w:w="720" w:type="dxa"/>
            <w:tcBorders>
              <w:top w:val="single" w:sz="4" w:space="0" w:color="000000"/>
              <w:bottom w:val="single" w:sz="4" w:space="0" w:color="000000"/>
            </w:tcBorders>
            <w:vAlign w:val="center"/>
          </w:tcPr>
          <w:p w14:paraId="14359E9A" w14:textId="77777777" w:rsidR="009C7607" w:rsidRDefault="00000000">
            <w:pPr>
              <w:ind w:hanging="18"/>
              <w:jc w:val="center"/>
              <w:rPr>
                <w:sz w:val="20"/>
                <w:szCs w:val="20"/>
              </w:rPr>
            </w:pPr>
            <w:r>
              <w:rPr>
                <w:sz w:val="20"/>
                <w:szCs w:val="20"/>
              </w:rPr>
              <w:t>No.</w:t>
            </w:r>
          </w:p>
        </w:tc>
        <w:tc>
          <w:tcPr>
            <w:tcW w:w="2626" w:type="dxa"/>
            <w:tcBorders>
              <w:top w:val="single" w:sz="4" w:space="0" w:color="000000"/>
              <w:bottom w:val="single" w:sz="4" w:space="0" w:color="000000"/>
            </w:tcBorders>
            <w:vAlign w:val="center"/>
          </w:tcPr>
          <w:p w14:paraId="681226AD" w14:textId="77777777" w:rsidR="009C7607" w:rsidRDefault="00000000">
            <w:pPr>
              <w:ind w:firstLine="0"/>
              <w:jc w:val="center"/>
              <w:rPr>
                <w:sz w:val="20"/>
                <w:szCs w:val="20"/>
              </w:rPr>
            </w:pPr>
            <w:r>
              <w:rPr>
                <w:sz w:val="20"/>
                <w:szCs w:val="20"/>
              </w:rPr>
              <w:t>Section</w:t>
            </w:r>
          </w:p>
        </w:tc>
        <w:tc>
          <w:tcPr>
            <w:tcW w:w="1343" w:type="dxa"/>
            <w:tcBorders>
              <w:top w:val="single" w:sz="4" w:space="0" w:color="000000"/>
              <w:bottom w:val="single" w:sz="4" w:space="0" w:color="000000"/>
            </w:tcBorders>
            <w:vAlign w:val="center"/>
          </w:tcPr>
          <w:p w14:paraId="1B62A58C" w14:textId="77777777" w:rsidR="009C7607" w:rsidRDefault="00000000">
            <w:pPr>
              <w:ind w:firstLine="0"/>
              <w:jc w:val="center"/>
              <w:rPr>
                <w:sz w:val="20"/>
                <w:szCs w:val="20"/>
              </w:rPr>
            </w:pPr>
            <w:r>
              <w:rPr>
                <w:sz w:val="20"/>
                <w:szCs w:val="20"/>
              </w:rPr>
              <w:t>Length in Percentage</w:t>
            </w:r>
          </w:p>
        </w:tc>
        <w:tc>
          <w:tcPr>
            <w:tcW w:w="4111" w:type="dxa"/>
            <w:tcBorders>
              <w:top w:val="single" w:sz="4" w:space="0" w:color="000000"/>
              <w:bottom w:val="single" w:sz="4" w:space="0" w:color="000000"/>
            </w:tcBorders>
            <w:vAlign w:val="center"/>
          </w:tcPr>
          <w:sdt>
            <w:sdtPr>
              <w:tag w:val="goog_rdk_0"/>
              <w:id w:val="1815670226"/>
            </w:sdtPr>
            <w:sdtContent>
              <w:p w14:paraId="3275B883" w14:textId="77777777" w:rsidR="009C7607" w:rsidRDefault="00000000">
                <w:pPr>
                  <w:ind w:firstLine="0"/>
                  <w:jc w:val="center"/>
                  <w:rPr>
                    <w:sz w:val="20"/>
                    <w:szCs w:val="20"/>
                  </w:rPr>
                  <w:pPrChange w:id="0" w:author="Anonymous" w:date="2022-09-09T06:58:00Z">
                    <w:pPr>
                      <w:ind w:firstLine="0"/>
                      <w:jc w:val="both"/>
                    </w:pPr>
                  </w:pPrChange>
                </w:pPr>
                <w:r>
                  <w:rPr>
                    <w:sz w:val="20"/>
                    <w:szCs w:val="20"/>
                  </w:rPr>
                  <w:t>Notes</w:t>
                </w:r>
              </w:p>
            </w:sdtContent>
          </w:sdt>
        </w:tc>
      </w:tr>
      <w:tr w:rsidR="009C7607" w14:paraId="05AFABB2" w14:textId="77777777">
        <w:trPr>
          <w:jc w:val="center"/>
        </w:trPr>
        <w:tc>
          <w:tcPr>
            <w:tcW w:w="720" w:type="dxa"/>
            <w:tcBorders>
              <w:top w:val="single" w:sz="4" w:space="0" w:color="000000"/>
            </w:tcBorders>
            <w:vAlign w:val="center"/>
          </w:tcPr>
          <w:p w14:paraId="166620AA" w14:textId="77777777" w:rsidR="009C7607" w:rsidRDefault="00000000">
            <w:pPr>
              <w:ind w:hanging="18"/>
              <w:jc w:val="center"/>
              <w:rPr>
                <w:sz w:val="20"/>
                <w:szCs w:val="20"/>
              </w:rPr>
            </w:pPr>
            <w:r>
              <w:rPr>
                <w:sz w:val="20"/>
                <w:szCs w:val="20"/>
              </w:rPr>
              <w:t>1.</w:t>
            </w:r>
          </w:p>
        </w:tc>
        <w:tc>
          <w:tcPr>
            <w:tcW w:w="2626" w:type="dxa"/>
            <w:tcBorders>
              <w:top w:val="single" w:sz="4" w:space="0" w:color="000000"/>
            </w:tcBorders>
            <w:vAlign w:val="center"/>
          </w:tcPr>
          <w:p w14:paraId="66FFCC68" w14:textId="77777777" w:rsidR="009C7607" w:rsidRDefault="00000000">
            <w:pPr>
              <w:ind w:firstLine="0"/>
              <w:rPr>
                <w:sz w:val="20"/>
                <w:szCs w:val="20"/>
              </w:rPr>
            </w:pPr>
            <w:r>
              <w:rPr>
                <w:sz w:val="20"/>
                <w:szCs w:val="20"/>
              </w:rPr>
              <w:t>Introduction</w:t>
            </w:r>
          </w:p>
        </w:tc>
        <w:tc>
          <w:tcPr>
            <w:tcW w:w="1343" w:type="dxa"/>
            <w:tcBorders>
              <w:top w:val="single" w:sz="4" w:space="0" w:color="000000"/>
            </w:tcBorders>
            <w:vAlign w:val="center"/>
          </w:tcPr>
          <w:p w14:paraId="7E51A9E3" w14:textId="77777777" w:rsidR="009C7607" w:rsidRDefault="00000000">
            <w:pPr>
              <w:ind w:firstLine="0"/>
              <w:jc w:val="center"/>
              <w:rPr>
                <w:sz w:val="20"/>
                <w:szCs w:val="20"/>
              </w:rPr>
            </w:pPr>
            <w:r>
              <w:rPr>
                <w:sz w:val="20"/>
                <w:szCs w:val="20"/>
              </w:rPr>
              <w:t>20</w:t>
            </w:r>
          </w:p>
        </w:tc>
        <w:tc>
          <w:tcPr>
            <w:tcW w:w="4111" w:type="dxa"/>
            <w:tcBorders>
              <w:top w:val="single" w:sz="4" w:space="0" w:color="000000"/>
            </w:tcBorders>
          </w:tcPr>
          <w:p w14:paraId="1DEF7030" w14:textId="77777777" w:rsidR="009C7607" w:rsidRDefault="00000000">
            <w:pPr>
              <w:ind w:firstLine="0"/>
              <w:rPr>
                <w:sz w:val="20"/>
                <w:szCs w:val="20"/>
              </w:rPr>
            </w:pPr>
            <w:r>
              <w:rPr>
                <w:sz w:val="20"/>
                <w:szCs w:val="20"/>
              </w:rPr>
              <w:t>Maximum (including title and abstract)</w:t>
            </w:r>
          </w:p>
        </w:tc>
      </w:tr>
      <w:tr w:rsidR="009C7607" w14:paraId="2CC01D32" w14:textId="77777777">
        <w:trPr>
          <w:trHeight w:val="68"/>
          <w:jc w:val="center"/>
        </w:trPr>
        <w:tc>
          <w:tcPr>
            <w:tcW w:w="720" w:type="dxa"/>
            <w:vAlign w:val="center"/>
          </w:tcPr>
          <w:p w14:paraId="3F5A7F5D" w14:textId="77777777" w:rsidR="009C7607" w:rsidRDefault="00000000">
            <w:pPr>
              <w:ind w:hanging="18"/>
              <w:jc w:val="center"/>
              <w:rPr>
                <w:sz w:val="20"/>
                <w:szCs w:val="20"/>
              </w:rPr>
            </w:pPr>
            <w:r>
              <w:rPr>
                <w:sz w:val="20"/>
                <w:szCs w:val="20"/>
              </w:rPr>
              <w:t>2.</w:t>
            </w:r>
          </w:p>
        </w:tc>
        <w:tc>
          <w:tcPr>
            <w:tcW w:w="2626" w:type="dxa"/>
            <w:vAlign w:val="center"/>
          </w:tcPr>
          <w:p w14:paraId="0DD4F95E" w14:textId="77777777" w:rsidR="009C7607" w:rsidRDefault="00000000">
            <w:pPr>
              <w:ind w:firstLine="0"/>
              <w:rPr>
                <w:sz w:val="20"/>
                <w:szCs w:val="20"/>
              </w:rPr>
            </w:pPr>
            <w:r>
              <w:rPr>
                <w:sz w:val="20"/>
                <w:szCs w:val="20"/>
              </w:rPr>
              <w:t>Method</w:t>
            </w:r>
          </w:p>
        </w:tc>
        <w:tc>
          <w:tcPr>
            <w:tcW w:w="1343" w:type="dxa"/>
            <w:vAlign w:val="center"/>
          </w:tcPr>
          <w:p w14:paraId="3E6F31D0" w14:textId="77777777" w:rsidR="009C7607" w:rsidRDefault="00000000">
            <w:pPr>
              <w:ind w:firstLine="0"/>
              <w:jc w:val="center"/>
              <w:rPr>
                <w:sz w:val="20"/>
                <w:szCs w:val="20"/>
              </w:rPr>
            </w:pPr>
            <w:r>
              <w:rPr>
                <w:sz w:val="20"/>
                <w:szCs w:val="20"/>
              </w:rPr>
              <w:t>10</w:t>
            </w:r>
          </w:p>
        </w:tc>
        <w:tc>
          <w:tcPr>
            <w:tcW w:w="4111" w:type="dxa"/>
          </w:tcPr>
          <w:p w14:paraId="4AD6C7E9" w14:textId="77777777" w:rsidR="009C7607" w:rsidRDefault="00000000">
            <w:pPr>
              <w:ind w:firstLine="0"/>
              <w:rPr>
                <w:sz w:val="20"/>
                <w:szCs w:val="20"/>
              </w:rPr>
            </w:pPr>
            <w:r>
              <w:rPr>
                <w:sz w:val="20"/>
                <w:szCs w:val="20"/>
              </w:rPr>
              <w:t>For quantitative research up to 15%.</w:t>
            </w:r>
          </w:p>
        </w:tc>
      </w:tr>
      <w:tr w:rsidR="009C7607" w14:paraId="19EB2EAF" w14:textId="77777777">
        <w:trPr>
          <w:trHeight w:val="68"/>
          <w:jc w:val="center"/>
        </w:trPr>
        <w:tc>
          <w:tcPr>
            <w:tcW w:w="720" w:type="dxa"/>
            <w:vAlign w:val="center"/>
          </w:tcPr>
          <w:p w14:paraId="612CE20D" w14:textId="77777777" w:rsidR="009C7607" w:rsidRDefault="00000000">
            <w:pPr>
              <w:ind w:hanging="18"/>
              <w:jc w:val="center"/>
              <w:rPr>
                <w:sz w:val="20"/>
                <w:szCs w:val="20"/>
              </w:rPr>
            </w:pPr>
            <w:r>
              <w:rPr>
                <w:sz w:val="20"/>
                <w:szCs w:val="20"/>
              </w:rPr>
              <w:t>3.</w:t>
            </w:r>
          </w:p>
        </w:tc>
        <w:tc>
          <w:tcPr>
            <w:tcW w:w="2626" w:type="dxa"/>
            <w:vAlign w:val="center"/>
          </w:tcPr>
          <w:p w14:paraId="11E8F33A" w14:textId="77777777" w:rsidR="009C7607" w:rsidRDefault="00000000">
            <w:pPr>
              <w:ind w:firstLine="0"/>
              <w:rPr>
                <w:sz w:val="20"/>
                <w:szCs w:val="20"/>
              </w:rPr>
            </w:pPr>
            <w:r>
              <w:rPr>
                <w:sz w:val="20"/>
                <w:szCs w:val="20"/>
              </w:rPr>
              <w:t>Findings and Discussions</w:t>
            </w:r>
          </w:p>
        </w:tc>
        <w:tc>
          <w:tcPr>
            <w:tcW w:w="1343" w:type="dxa"/>
            <w:vAlign w:val="center"/>
          </w:tcPr>
          <w:p w14:paraId="30C7BE21" w14:textId="77777777" w:rsidR="009C7607" w:rsidRDefault="00000000">
            <w:pPr>
              <w:ind w:firstLine="0"/>
              <w:jc w:val="center"/>
              <w:rPr>
                <w:sz w:val="20"/>
                <w:szCs w:val="20"/>
              </w:rPr>
            </w:pPr>
            <w:r>
              <w:rPr>
                <w:sz w:val="20"/>
                <w:szCs w:val="20"/>
              </w:rPr>
              <w:t>60</w:t>
            </w:r>
          </w:p>
        </w:tc>
        <w:tc>
          <w:tcPr>
            <w:tcW w:w="4111" w:type="dxa"/>
          </w:tcPr>
          <w:p w14:paraId="79D5CB75" w14:textId="77777777" w:rsidR="009C7607" w:rsidRDefault="00000000">
            <w:pPr>
              <w:ind w:firstLine="0"/>
              <w:rPr>
                <w:sz w:val="20"/>
                <w:szCs w:val="20"/>
              </w:rPr>
            </w:pPr>
            <w:r>
              <w:rPr>
                <w:sz w:val="20"/>
                <w:szCs w:val="20"/>
              </w:rPr>
              <w:t>Minimum</w:t>
            </w:r>
          </w:p>
        </w:tc>
      </w:tr>
      <w:tr w:rsidR="009C7607" w14:paraId="6811D030" w14:textId="77777777">
        <w:trPr>
          <w:trHeight w:val="68"/>
          <w:jc w:val="center"/>
        </w:trPr>
        <w:tc>
          <w:tcPr>
            <w:tcW w:w="720" w:type="dxa"/>
            <w:vAlign w:val="center"/>
          </w:tcPr>
          <w:p w14:paraId="6E6AA7B1" w14:textId="77777777" w:rsidR="009C7607" w:rsidRDefault="00000000">
            <w:pPr>
              <w:ind w:hanging="18"/>
              <w:jc w:val="center"/>
              <w:rPr>
                <w:sz w:val="20"/>
                <w:szCs w:val="20"/>
              </w:rPr>
            </w:pPr>
            <w:r>
              <w:rPr>
                <w:sz w:val="20"/>
                <w:szCs w:val="20"/>
              </w:rPr>
              <w:t>5.</w:t>
            </w:r>
          </w:p>
        </w:tc>
        <w:tc>
          <w:tcPr>
            <w:tcW w:w="2626" w:type="dxa"/>
            <w:vAlign w:val="center"/>
          </w:tcPr>
          <w:p w14:paraId="0CB03361" w14:textId="77777777" w:rsidR="009C7607" w:rsidRDefault="00000000">
            <w:pPr>
              <w:ind w:firstLine="0"/>
              <w:rPr>
                <w:sz w:val="20"/>
                <w:szCs w:val="20"/>
              </w:rPr>
            </w:pPr>
            <w:r>
              <w:rPr>
                <w:sz w:val="20"/>
                <w:szCs w:val="20"/>
              </w:rPr>
              <w:t>Conclusion and References</w:t>
            </w:r>
          </w:p>
        </w:tc>
        <w:tc>
          <w:tcPr>
            <w:tcW w:w="1343" w:type="dxa"/>
            <w:vAlign w:val="center"/>
          </w:tcPr>
          <w:p w14:paraId="5EAFD04D" w14:textId="77777777" w:rsidR="009C7607" w:rsidRDefault="00000000">
            <w:pPr>
              <w:ind w:firstLine="0"/>
              <w:jc w:val="center"/>
              <w:rPr>
                <w:sz w:val="20"/>
                <w:szCs w:val="20"/>
              </w:rPr>
            </w:pPr>
            <w:r>
              <w:rPr>
                <w:sz w:val="20"/>
                <w:szCs w:val="20"/>
              </w:rPr>
              <w:t>10</w:t>
            </w:r>
          </w:p>
        </w:tc>
        <w:tc>
          <w:tcPr>
            <w:tcW w:w="4111" w:type="dxa"/>
          </w:tcPr>
          <w:p w14:paraId="19D6FF6E" w14:textId="77777777" w:rsidR="009C7607" w:rsidRDefault="00000000">
            <w:pPr>
              <w:ind w:firstLine="0"/>
              <w:rPr>
                <w:sz w:val="20"/>
                <w:szCs w:val="20"/>
              </w:rPr>
            </w:pPr>
            <w:r>
              <w:rPr>
                <w:sz w:val="20"/>
                <w:szCs w:val="20"/>
              </w:rPr>
              <w:t>Approximate</w:t>
            </w:r>
          </w:p>
        </w:tc>
      </w:tr>
    </w:tbl>
    <w:p w14:paraId="0E6CA83E" w14:textId="77777777" w:rsidR="009C7607" w:rsidRDefault="009C7607"/>
    <w:p w14:paraId="797F0E17" w14:textId="77777777" w:rsidR="009C7607" w:rsidRDefault="00000000">
      <w:pPr>
        <w:jc w:val="both"/>
      </w:pPr>
      <w:r>
        <w:tab/>
        <w:t>Results of qualitative research resourced from interviews, observation, text interpretation, and others are synthesized, condensed, or abstracted into a substantial summary. These substantial findings are presented in descriptive tables to make it easy for the reader to understand. Interview excerpts, observation descriptions, text quotations, and others are presented in the discussion section as authentic examples. An example of a figure presentation is shown in Figure 1.</w:t>
      </w:r>
    </w:p>
    <w:p w14:paraId="1A4C71B5" w14:textId="77777777" w:rsidR="009C7607" w:rsidRDefault="009C7607"/>
    <w:p w14:paraId="01B2EF38" w14:textId="77777777" w:rsidR="009C7607" w:rsidRDefault="00000000">
      <w:pPr>
        <w:ind w:firstLine="432"/>
        <w:jc w:val="both"/>
        <w:rPr>
          <w:sz w:val="16"/>
          <w:szCs w:val="16"/>
        </w:rPr>
      </w:pPr>
      <w:r>
        <w:rPr>
          <w:b/>
        </w:rPr>
        <w:t>Figure 1.</w:t>
      </w:r>
      <w:r>
        <w:t xml:space="preserve"> </w:t>
      </w:r>
      <w:r>
        <w:rPr>
          <w:b/>
        </w:rPr>
        <w:t>Comparison between the manual and systemic condensation procedures</w:t>
      </w:r>
    </w:p>
    <w:p w14:paraId="488FEF3D" w14:textId="77777777" w:rsidR="009C7607" w:rsidRDefault="00000000">
      <w:pPr>
        <w:ind w:firstLine="432"/>
        <w:jc w:val="both"/>
        <w:rPr>
          <w:sz w:val="16"/>
          <w:szCs w:val="16"/>
        </w:rPr>
      </w:pPr>
      <w:r>
        <w:rPr>
          <w:noProof/>
        </w:rPr>
        <mc:AlternateContent>
          <mc:Choice Requires="wps">
            <w:drawing>
              <wp:anchor distT="0" distB="0" distL="114300" distR="114300" simplePos="0" relativeHeight="251659264" behindDoc="0" locked="0" layoutInCell="1" allowOverlap="1" wp14:anchorId="1DA3F6E4" wp14:editId="36434FB6">
                <wp:simplePos x="0" y="0"/>
                <wp:positionH relativeFrom="column">
                  <wp:posOffset>368300</wp:posOffset>
                </wp:positionH>
                <wp:positionV relativeFrom="paragraph">
                  <wp:posOffset>139700</wp:posOffset>
                </wp:positionV>
                <wp:extent cx="4775200" cy="2071370"/>
                <wp:effectExtent l="0" t="0" r="0" b="0"/>
                <wp:wrapNone/>
                <wp:docPr id="10" name="Rectangle 10"/>
                <wp:cNvGraphicFramePr/>
                <a:graphic xmlns:a="http://schemas.openxmlformats.org/drawingml/2006/main">
                  <a:graphicData uri="http://schemas.microsoft.com/office/word/2010/wordprocessingShape">
                    <wps:wsp>
                      <wps:cNvSpPr/>
                      <wps:spPr>
                        <a:xfrm>
                          <a:off x="2983800" y="2769715"/>
                          <a:ext cx="4724400" cy="2020570"/>
                        </a:xfrm>
                        <a:prstGeom prst="rect">
                          <a:avLst/>
                        </a:prstGeom>
                        <a:noFill/>
                        <a:ln w="12700" cap="flat" cmpd="sng">
                          <a:solidFill>
                            <a:schemeClr val="dk1"/>
                          </a:solidFill>
                          <a:prstDash val="solid"/>
                          <a:miter lim="800000"/>
                          <a:headEnd type="none" w="sm" len="sm"/>
                          <a:tailEnd type="none" w="sm" len="sm"/>
                        </a:ln>
                      </wps:spPr>
                      <wps:txbx>
                        <w:txbxContent>
                          <w:p w14:paraId="045DC1FD" w14:textId="77777777" w:rsidR="009C7607" w:rsidRDefault="009C7607">
                            <w:pPr>
                              <w:ind w:firstLine="0"/>
                            </w:pPr>
                          </w:p>
                        </w:txbxContent>
                      </wps:txbx>
                      <wps:bodyPr spcFirstLastPara="1" wrap="square" lIns="91425" tIns="91425" rIns="91425" bIns="91425" anchor="ctr" anchorCtr="0">
                        <a:noAutofit/>
                      </wps:bodyPr>
                    </wps:wsp>
                  </a:graphicData>
                </a:graphic>
              </wp:anchor>
            </w:drawing>
          </mc:Choice>
          <mc:Fallback>
            <w:pict>
              <v:rect w14:anchorId="1DA3F6E4" id="Rectangle 10" o:spid="_x0000_s1026" style="position:absolute;left:0;text-align:left;margin-left:29pt;margin-top:11pt;width:376pt;height:16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5QFQIAACUEAAAOAAAAZHJzL2Uyb0RvYy54bWysU9uO0zAQfUfiHyy/01xotxc1XaEtRUgr&#10;qLTwAVPbaSx8w/Y26d8zdsq2wAMSIg/OTDw5c+b4eH0/aEVOwgdpTUOrSUmJMMxyaY4N/fpl92ZB&#10;SYhgOChrREPPItD7zetX696tRG07q7jwBEFMWPWuoV2MblUUgXVCQ5hYJwxuttZriJj6Y8E99Iiu&#10;VVGX5V3RW8+dt0yEgF+34ybdZPy2FSx+btsgIlENRW4xrz6vh7QWmzWsjh5cJ9mFBvwDCw3SYNMX&#10;qC1EIM9e/gGlJfM22DZOmNWFbVvJRJ4Bp6nK36Z56sCJPAuKE9yLTOH/wbJPpye39yhD78IqYJim&#10;GFqv0xv5kaGh9XLxdlGifGeM53fLeTUbhRNDJAwLpvN6Ok0FLFWUdTmbZ2mLK5TzIX4QVpMUNNTj&#10;yWTB4PQYIrbH0p8lqbOxO6lUPh1lSI/Wque5AaBJWgURe2nHGxrMMeMEqyRP/6S/s33Eg/LkBHjw&#10;/FuV+GKLX6pSvy2EbizKW+NYWkY0pZK6oTg2PuPnTgB/bziJZ4dONuhnmpgFTYkS6H4MMuEIUv29&#10;Dtkog6SuuqcoDocBQVJ4sPy89yQ4tpPI9BFC3INHd1bYFh2LDb8/g0cS6qNBSyyraT1Di98m/jY5&#10;3CZgWGfxIrDoKRmTh5gvxij/u+doW5lP5krmQhe9mNW83Jtk9ts8V11v9+YHAAAA//8DAFBLAwQU&#10;AAYACAAAACEArrl5+t4AAAAJAQAADwAAAGRycy9kb3ducmV2LnhtbEyPzU7DQAyE70i8w8pI3Ogm&#10;4UchZFOhIsQFISiIs5s1SSDrTbPbNPD0uCc42daMxt+Uy9n1aqIxdJ4NpIsEFHHtbceNgbfX+7Mc&#10;VIjIFnvPZOCbAiyr46MSC+v3/ELTOjZKQjgUaKCNcSi0DnVLDsPCD8SiffjRYZRzbLQdcS/hrtdZ&#10;klxphx3LhxYHWrVUf6137pCyen/aTs+f28f25y61Dxajvjbm9GS+vQEVaY5/ZjjgCzpUwrTxO7ZB&#10;9QYuc6kSDWSZTNHzNJFlY+D8Is9AV6X+36D6BQAA//8DAFBLAQItABQABgAIAAAAIQC2gziS/gAA&#10;AOEBAAATAAAAAAAAAAAAAAAAAAAAAABbQ29udGVudF9UeXBlc10ueG1sUEsBAi0AFAAGAAgAAAAh&#10;ADj9If/WAAAAlAEAAAsAAAAAAAAAAAAAAAAALwEAAF9yZWxzLy5yZWxzUEsBAi0AFAAGAAgAAAAh&#10;ADeP7lAVAgAAJQQAAA4AAAAAAAAAAAAAAAAALgIAAGRycy9lMm9Eb2MueG1sUEsBAi0AFAAGAAgA&#10;AAAhAK65efreAAAACQEAAA8AAAAAAAAAAAAAAAAAbwQAAGRycy9kb3ducmV2LnhtbFBLBQYAAAAA&#10;BAAEAPMAAAB6BQAAAAA=&#10;" filled="f" strokecolor="black [3200]" strokeweight="1pt">
                <v:stroke startarrowwidth="narrow" startarrowlength="short" endarrowwidth="narrow" endarrowlength="short"/>
                <v:textbox inset="2.53958mm,2.53958mm,2.53958mm,2.53958mm">
                  <w:txbxContent>
                    <w:p w14:paraId="045DC1FD" w14:textId="77777777" w:rsidR="009C7607" w:rsidRDefault="009C7607">
                      <w:pPr>
                        <w:ind w:firstLine="0"/>
                      </w:pPr>
                    </w:p>
                  </w:txbxContent>
                </v:textbox>
              </v:rect>
            </w:pict>
          </mc:Fallback>
        </mc:AlternateContent>
      </w:r>
    </w:p>
    <w:p w14:paraId="54D9E455" w14:textId="77777777" w:rsidR="009C7607" w:rsidRDefault="00000000">
      <w:pPr>
        <w:spacing w:line="360" w:lineRule="auto"/>
        <w:jc w:val="both"/>
      </w:pPr>
      <w:r>
        <w:t xml:space="preserve"> </w:t>
      </w:r>
    </w:p>
    <w:p w14:paraId="4619744F" w14:textId="77777777" w:rsidR="009C7607" w:rsidRDefault="00000000">
      <w:pPr>
        <w:spacing w:line="360" w:lineRule="auto"/>
        <w:jc w:val="both"/>
      </w:pPr>
      <w:r>
        <w:rPr>
          <w:noProof/>
        </w:rPr>
        <w:drawing>
          <wp:anchor distT="0" distB="0" distL="114300" distR="114300" simplePos="0" relativeHeight="251660288" behindDoc="0" locked="0" layoutInCell="1" allowOverlap="1" wp14:anchorId="4F55CC83" wp14:editId="29939DCD">
            <wp:simplePos x="0" y="0"/>
            <wp:positionH relativeFrom="column">
              <wp:posOffset>500380</wp:posOffset>
            </wp:positionH>
            <wp:positionV relativeFrom="paragraph">
              <wp:posOffset>37465</wp:posOffset>
            </wp:positionV>
            <wp:extent cx="4438015" cy="1649095"/>
            <wp:effectExtent l="0" t="0" r="0" b="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98FD5F6" w14:textId="77777777" w:rsidR="009C7607" w:rsidRDefault="009C7607">
      <w:pPr>
        <w:spacing w:line="360" w:lineRule="auto"/>
        <w:jc w:val="both"/>
      </w:pPr>
    </w:p>
    <w:p w14:paraId="7E102158" w14:textId="77777777" w:rsidR="009C7607" w:rsidRDefault="009C7607">
      <w:pPr>
        <w:spacing w:line="360" w:lineRule="auto"/>
        <w:jc w:val="both"/>
      </w:pPr>
    </w:p>
    <w:p w14:paraId="4BDC2B26" w14:textId="77777777" w:rsidR="009C7607" w:rsidRDefault="009C7607">
      <w:pPr>
        <w:spacing w:line="360" w:lineRule="auto"/>
        <w:jc w:val="both"/>
      </w:pPr>
    </w:p>
    <w:p w14:paraId="58702626" w14:textId="77777777" w:rsidR="009C7607" w:rsidRDefault="009C7607">
      <w:pPr>
        <w:spacing w:line="360" w:lineRule="auto"/>
        <w:jc w:val="both"/>
      </w:pPr>
    </w:p>
    <w:p w14:paraId="6174555F" w14:textId="77777777" w:rsidR="009C7607" w:rsidRDefault="009C7607">
      <w:pPr>
        <w:spacing w:line="360" w:lineRule="auto"/>
        <w:jc w:val="both"/>
      </w:pPr>
    </w:p>
    <w:p w14:paraId="46FC07FC" w14:textId="77777777" w:rsidR="009C7607" w:rsidRDefault="009C7607">
      <w:pPr>
        <w:spacing w:line="360" w:lineRule="auto"/>
        <w:jc w:val="both"/>
      </w:pPr>
    </w:p>
    <w:p w14:paraId="4DCB2CA8" w14:textId="77777777" w:rsidR="009C7607" w:rsidRDefault="009C7607">
      <w:pPr>
        <w:widowControl w:val="0"/>
        <w:ind w:firstLine="0"/>
        <w:rPr>
          <w:b/>
        </w:rPr>
      </w:pPr>
    </w:p>
    <w:p w14:paraId="067D0845" w14:textId="77777777" w:rsidR="009C7607" w:rsidRDefault="00000000">
      <w:pPr>
        <w:widowControl w:val="0"/>
        <w:ind w:firstLine="0"/>
        <w:rPr>
          <w:b/>
        </w:rPr>
      </w:pPr>
      <w:r>
        <w:rPr>
          <w:b/>
        </w:rPr>
        <w:t xml:space="preserve">Discussion </w:t>
      </w:r>
    </w:p>
    <w:p w14:paraId="05B2ED60" w14:textId="77777777" w:rsidR="009C7607" w:rsidRDefault="00000000">
      <w:pPr>
        <w:widowControl w:val="0"/>
        <w:ind w:firstLine="720"/>
        <w:jc w:val="both"/>
      </w:pPr>
      <w:r>
        <w:t xml:space="preserve">Discussion is meant to give interpretation and meaning to the research findings in line with the </w:t>
      </w:r>
      <w:proofErr w:type="gramStart"/>
      <w:r>
        <w:t>used theories</w:t>
      </w:r>
      <w:proofErr w:type="gramEnd"/>
      <w:r>
        <w:t xml:space="preserve">; not merely a description of findings. It must be supported by references from previous research results published in accredited journals. It is suggested that discussion also integrate research results into an established theory or knowledge, formulate a new theory, or modify existing theories. Discussion also includes possible implications of the research findings.  </w:t>
      </w:r>
    </w:p>
    <w:p w14:paraId="3C493918" w14:textId="77777777" w:rsidR="009C7607" w:rsidRDefault="009C7607">
      <w:pPr>
        <w:jc w:val="both"/>
        <w:rPr>
          <w:color w:val="000000"/>
        </w:rPr>
      </w:pPr>
    </w:p>
    <w:p w14:paraId="6020108E" w14:textId="77777777" w:rsidR="009C7607" w:rsidRDefault="00000000">
      <w:pPr>
        <w:widowControl w:val="0"/>
        <w:ind w:firstLine="0"/>
        <w:rPr>
          <w:b/>
          <w:i/>
        </w:rPr>
      </w:pPr>
      <w:r>
        <w:rPr>
          <w:b/>
          <w:i/>
        </w:rPr>
        <w:t xml:space="preserve">Quotation  </w:t>
      </w:r>
    </w:p>
    <w:p w14:paraId="4927F253" w14:textId="77777777" w:rsidR="009C7607" w:rsidRDefault="00000000">
      <w:pPr>
        <w:widowControl w:val="0"/>
        <w:tabs>
          <w:tab w:val="left" w:pos="1418"/>
        </w:tabs>
        <w:jc w:val="both"/>
      </w:pPr>
      <w:r>
        <w:t xml:space="preserve">Use the right </w:t>
      </w:r>
      <w:proofErr w:type="gramStart"/>
      <w:r>
        <w:t>referencing</w:t>
      </w:r>
      <w:proofErr w:type="gramEnd"/>
      <w:r>
        <w:t xml:space="preserve"> techniques in the journal</w:t>
      </w:r>
      <w:r>
        <w:rPr>
          <w:b/>
          <w:i/>
        </w:rPr>
        <w:t xml:space="preserve">. </w:t>
      </w:r>
      <w:r>
        <w:t>References in the</w:t>
      </w:r>
      <w:r>
        <w:rPr>
          <w:b/>
          <w:i/>
        </w:rPr>
        <w:t xml:space="preserve"> </w:t>
      </w:r>
      <w:r>
        <w:t>article body are written using brackets (...). For one author, the example is: (</w:t>
      </w:r>
      <w:proofErr w:type="spellStart"/>
      <w:r>
        <w:t>Retnowati</w:t>
      </w:r>
      <w:proofErr w:type="spellEnd"/>
      <w:r>
        <w:t>, 2018); for two authors: (</w:t>
      </w:r>
      <w:proofErr w:type="spellStart"/>
      <w:r>
        <w:t>Nurgiyantoro</w:t>
      </w:r>
      <w:proofErr w:type="spellEnd"/>
      <w:r>
        <w:t xml:space="preserve"> &amp; Efendi, 2017). For three authors, the first mention is written in full (</w:t>
      </w:r>
      <w:proofErr w:type="spellStart"/>
      <w:r>
        <w:t>Retnowati</w:t>
      </w:r>
      <w:proofErr w:type="spellEnd"/>
      <w:r>
        <w:t xml:space="preserve">, </w:t>
      </w:r>
      <w:proofErr w:type="spellStart"/>
      <w:r>
        <w:t>Fathoni</w:t>
      </w:r>
      <w:proofErr w:type="spellEnd"/>
      <w:r>
        <w:t>, &amp; Chen, 2018) and the ensuing mentions use the first author (</w:t>
      </w:r>
      <w:proofErr w:type="spellStart"/>
      <w:r>
        <w:t>Retnowati</w:t>
      </w:r>
      <w:proofErr w:type="spellEnd"/>
      <w:r>
        <w:t xml:space="preserve"> </w:t>
      </w:r>
      <w:r>
        <w:rPr>
          <w:i/>
        </w:rPr>
        <w:t>et al</w:t>
      </w:r>
      <w:r>
        <w:t xml:space="preserve">., 2018). For more than five authors, only the first author is written: (Booth </w:t>
      </w:r>
      <w:r>
        <w:rPr>
          <w:i/>
        </w:rPr>
        <w:lastRenderedPageBreak/>
        <w:t>et al</w:t>
      </w:r>
      <w:r>
        <w:t xml:space="preserve">., 2015). Referencing can also put authors outside the brackets: </w:t>
      </w:r>
      <w:proofErr w:type="spellStart"/>
      <w:r>
        <w:t>Nurgiyantoro</w:t>
      </w:r>
      <w:proofErr w:type="spellEnd"/>
      <w:r>
        <w:t xml:space="preserve"> and Efendi (2017) state that …. In the case of direct quotations or facts, years of publication must be mentioned: </w:t>
      </w:r>
      <w:r>
        <w:rPr>
          <w:color w:val="000000"/>
        </w:rPr>
        <w:t>(</w:t>
      </w:r>
      <w:proofErr w:type="spellStart"/>
      <w:r>
        <w:rPr>
          <w:color w:val="000000"/>
        </w:rPr>
        <w:t>Nurgiyantoro</w:t>
      </w:r>
      <w:proofErr w:type="spellEnd"/>
      <w:r>
        <w:rPr>
          <w:color w:val="000000"/>
        </w:rPr>
        <w:t xml:space="preserve"> &amp; Efendi, 2017, p. 144) for one page, (</w:t>
      </w:r>
      <w:proofErr w:type="spellStart"/>
      <w:r>
        <w:rPr>
          <w:color w:val="000000"/>
        </w:rPr>
        <w:t>Nurgiyantoro</w:t>
      </w:r>
      <w:proofErr w:type="spellEnd"/>
      <w:r>
        <w:rPr>
          <w:color w:val="000000"/>
        </w:rPr>
        <w:t xml:space="preserve"> &amp; Efendi, 2017, pp. 144-146) for more than one page. </w:t>
      </w:r>
    </w:p>
    <w:p w14:paraId="1C8832B8" w14:textId="77777777" w:rsidR="009C7607" w:rsidRDefault="00000000">
      <w:pPr>
        <w:widowControl w:val="0"/>
        <w:ind w:firstLine="720"/>
        <w:jc w:val="both"/>
        <w:rPr>
          <w:color w:val="000000"/>
        </w:rPr>
      </w:pPr>
      <w:r>
        <w:rPr>
          <w:color w:val="000000"/>
        </w:rPr>
        <w:t xml:space="preserve">It is strongly suggested not to include too many direct quotations. For direct quotations no longer than 40 words, the writing is inserted into a regular paragraph (not separated) by using quotation marks in brackets (“...”). For direct quotations longer than 40 words, the writing is in a block, outside the paragraph, indented a half inch from the left margin, with no quotation marks, and followed by the reference (name, year, p. page). </w:t>
      </w:r>
    </w:p>
    <w:p w14:paraId="300E8B25" w14:textId="77777777" w:rsidR="009C7607" w:rsidRDefault="00000000">
      <w:pPr>
        <w:jc w:val="both"/>
        <w:rPr>
          <w:color w:val="000000"/>
        </w:rPr>
      </w:pPr>
      <w:r>
        <w:rPr>
          <w:color w:val="000000"/>
        </w:rPr>
        <w:t xml:space="preserve">If the question essence is taken from some references, </w:t>
      </w:r>
      <w:proofErr w:type="gramStart"/>
      <w:r>
        <w:rPr>
          <w:color w:val="000000"/>
        </w:rPr>
        <w:t>all of</w:t>
      </w:r>
      <w:proofErr w:type="gramEnd"/>
      <w:r>
        <w:rPr>
          <w:color w:val="000000"/>
        </w:rPr>
        <w:t xml:space="preserve"> the sources are written by describing </w:t>
      </w:r>
      <w:proofErr w:type="gramStart"/>
      <w:r>
        <w:rPr>
          <w:color w:val="000000"/>
        </w:rPr>
        <w:t>all of</w:t>
      </w:r>
      <w:proofErr w:type="gramEnd"/>
      <w:r>
        <w:rPr>
          <w:color w:val="000000"/>
        </w:rPr>
        <w:t xml:space="preserve"> the alphabetical, full stops, references’ sequences, </w:t>
      </w:r>
      <w:proofErr w:type="gramStart"/>
      <w:r>
        <w:rPr>
          <w:color w:val="000000"/>
        </w:rPr>
        <w:t>and also</w:t>
      </w:r>
      <w:proofErr w:type="gramEnd"/>
      <w:r>
        <w:rPr>
          <w:color w:val="000000"/>
        </w:rPr>
        <w:t xml:space="preserve"> semicolons (;) to divide references; e.g. (</w:t>
      </w:r>
      <w:proofErr w:type="spellStart"/>
      <w:r>
        <w:rPr>
          <w:color w:val="000000"/>
        </w:rPr>
        <w:t>Shahlberg</w:t>
      </w:r>
      <w:proofErr w:type="spellEnd"/>
      <w:r>
        <w:rPr>
          <w:color w:val="000000"/>
        </w:rPr>
        <w:t xml:space="preserve">, 2012; </w:t>
      </w:r>
      <w:proofErr w:type="spellStart"/>
      <w:r>
        <w:rPr>
          <w:color w:val="000000"/>
        </w:rPr>
        <w:t>Scunk</w:t>
      </w:r>
      <w:proofErr w:type="spellEnd"/>
      <w:r>
        <w:rPr>
          <w:color w:val="000000"/>
        </w:rPr>
        <w:t xml:space="preserve">, 2012; </w:t>
      </w:r>
      <w:proofErr w:type="spellStart"/>
      <w:r>
        <w:rPr>
          <w:color w:val="000000"/>
        </w:rPr>
        <w:t>Retnowati</w:t>
      </w:r>
      <w:proofErr w:type="spellEnd"/>
      <w:r>
        <w:rPr>
          <w:color w:val="000000"/>
        </w:rPr>
        <w:t xml:space="preserve">, </w:t>
      </w:r>
      <w:proofErr w:type="spellStart"/>
      <w:r>
        <w:rPr>
          <w:color w:val="000000"/>
        </w:rPr>
        <w:t>Fathoni</w:t>
      </w:r>
      <w:proofErr w:type="spellEnd"/>
      <w:r>
        <w:rPr>
          <w:color w:val="000000"/>
        </w:rPr>
        <w:t xml:space="preserve">, &amp; Chen, 2018). For the translation resource, it refers to the original writer, years of the translation book, and the book’s original Title. If there are two references with the same </w:t>
      </w:r>
      <w:proofErr w:type="gramStart"/>
      <w:r>
        <w:rPr>
          <w:color w:val="000000"/>
        </w:rPr>
        <w:t>writer</w:t>
      </w:r>
      <w:proofErr w:type="gramEnd"/>
      <w:r>
        <w:rPr>
          <w:color w:val="000000"/>
        </w:rPr>
        <w:t xml:space="preserve"> name and publication years, the publication years must be added with alphabets, for example (Schunk, 2012a) and Schunck (2012b).</w:t>
      </w:r>
    </w:p>
    <w:p w14:paraId="38FCDD2A" w14:textId="77777777" w:rsidR="009C7607" w:rsidRDefault="009C7607">
      <w:pPr>
        <w:jc w:val="both"/>
        <w:rPr>
          <w:color w:val="000000"/>
        </w:rPr>
      </w:pPr>
    </w:p>
    <w:p w14:paraId="57BD5C1D" w14:textId="77777777" w:rsidR="009C7607" w:rsidRDefault="00000000">
      <w:pPr>
        <w:pStyle w:val="Heading1"/>
        <w:rPr>
          <w:rFonts w:ascii="Times New Roman" w:eastAsia="Times New Roman" w:hAnsi="Times New Roman" w:cs="Times New Roman"/>
        </w:rPr>
      </w:pPr>
      <w:r>
        <w:rPr>
          <w:rFonts w:ascii="Times New Roman" w:eastAsia="Times New Roman" w:hAnsi="Times New Roman" w:cs="Times New Roman"/>
        </w:rPr>
        <w:t>CONCLUSION</w:t>
      </w:r>
    </w:p>
    <w:p w14:paraId="1683A5CC" w14:textId="77777777" w:rsidR="009C7607" w:rsidRDefault="00000000">
      <w:pPr>
        <w:widowControl w:val="0"/>
        <w:ind w:firstLine="720"/>
        <w:jc w:val="both"/>
      </w:pPr>
      <w:r>
        <w:t xml:space="preserve">The conclusion is not merely a repetition of data description, but it must be a substantiation of meaning. It can represent an expectation that is mentioned in the “Introduction” section and produces discussion in the “Findings and Discussion” section such that there is thought compatibility. Furthermore, a statement can be added that proposes prospects of future development and application of further </w:t>
      </w:r>
      <w:proofErr w:type="gramStart"/>
      <w:r>
        <w:t>research as</w:t>
      </w:r>
      <w:proofErr w:type="gramEnd"/>
      <w:r>
        <w:t xml:space="preserve"> based on the findings and discussion of the study. </w:t>
      </w:r>
    </w:p>
    <w:p w14:paraId="537C2DBE" w14:textId="77777777" w:rsidR="009C7607" w:rsidRDefault="009C7607">
      <w:pPr>
        <w:spacing w:line="360" w:lineRule="auto"/>
        <w:ind w:firstLine="0"/>
        <w:jc w:val="both"/>
        <w:rPr>
          <w:b/>
        </w:rPr>
      </w:pPr>
    </w:p>
    <w:p w14:paraId="5DF3B96C" w14:textId="77777777" w:rsidR="009C7607" w:rsidRDefault="00000000">
      <w:pPr>
        <w:widowControl w:val="0"/>
        <w:ind w:firstLine="0"/>
      </w:pPr>
      <w:r>
        <w:rPr>
          <w:b/>
        </w:rPr>
        <w:t xml:space="preserve">ACKNOWLEDGEMENTS </w:t>
      </w:r>
    </w:p>
    <w:p w14:paraId="6A1D578C" w14:textId="77777777" w:rsidR="009C7607" w:rsidRDefault="00000000">
      <w:pPr>
        <w:ind w:firstLine="720"/>
        <w:jc w:val="both"/>
      </w:pPr>
      <w:r>
        <w:t xml:space="preserve">This section contains acknowledgements to the sponsors, fund providers, resource persons, and parties and </w:t>
      </w:r>
      <w:proofErr w:type="gramStart"/>
      <w:r>
        <w:t>persons</w:t>
      </w:r>
      <w:proofErr w:type="gramEnd"/>
      <w:r>
        <w:t xml:space="preserve"> who have given important </w:t>
      </w:r>
      <w:proofErr w:type="gramStart"/>
      <w:r>
        <w:t>participations</w:t>
      </w:r>
      <w:proofErr w:type="gramEnd"/>
      <w:r>
        <w:t xml:space="preserve"> in the conduct of the study.  No mention is needed for the editors of this journal. </w:t>
      </w:r>
    </w:p>
    <w:p w14:paraId="02B4849C" w14:textId="77777777" w:rsidR="009C7607" w:rsidRDefault="009C7607">
      <w:pPr>
        <w:spacing w:line="360" w:lineRule="auto"/>
        <w:ind w:firstLine="0"/>
        <w:jc w:val="both"/>
        <w:rPr>
          <w:b/>
        </w:rPr>
      </w:pPr>
    </w:p>
    <w:p w14:paraId="624FF39E" w14:textId="77777777" w:rsidR="009C7607" w:rsidRDefault="00000000">
      <w:pPr>
        <w:pStyle w:val="Heading1"/>
        <w:rPr>
          <w:rFonts w:ascii="Times New Roman" w:eastAsia="Times New Roman" w:hAnsi="Times New Roman" w:cs="Times New Roman"/>
        </w:rPr>
      </w:pPr>
      <w:r>
        <w:rPr>
          <w:rFonts w:ascii="Times New Roman" w:eastAsia="Times New Roman" w:hAnsi="Times New Roman" w:cs="Times New Roman"/>
        </w:rPr>
        <w:t>REFERENCES</w:t>
      </w:r>
    </w:p>
    <w:p w14:paraId="3041CEEA" w14:textId="77777777" w:rsidR="009C7607" w:rsidRDefault="00000000">
      <w:pPr>
        <w:widowControl w:val="0"/>
        <w:ind w:firstLine="426"/>
        <w:jc w:val="both"/>
      </w:pPr>
      <w:r>
        <w:t xml:space="preserve">Listed entries are only references that are mentioned in the body of the article. On the other hand, all names mentioned in the article body must be listed as references. References must be recent (maximally the last 10 years). The writing of the references adopts the APA Guide Version 7. Examples of </w:t>
      </w:r>
      <w:proofErr w:type="gramStart"/>
      <w:r>
        <w:t>referencing</w:t>
      </w:r>
      <w:proofErr w:type="gramEnd"/>
      <w:r>
        <w:t xml:space="preserve"> are given subsequently. </w:t>
      </w:r>
    </w:p>
    <w:p w14:paraId="67ABC1AB" w14:textId="77777777" w:rsidR="009C7607" w:rsidRDefault="009C7607">
      <w:pPr>
        <w:widowControl w:val="0"/>
      </w:pPr>
    </w:p>
    <w:p w14:paraId="4331B515" w14:textId="77777777" w:rsidR="009C7607" w:rsidRDefault="00000000">
      <w:pPr>
        <w:widowControl w:val="0"/>
        <w:ind w:firstLine="0"/>
      </w:pPr>
      <w:r>
        <w:t xml:space="preserve">(Source: Book, </w:t>
      </w:r>
      <w:r>
        <w:rPr>
          <w:i/>
        </w:rPr>
        <w:t>author</w:t>
      </w:r>
      <w:r>
        <w:t xml:space="preserve"> is the same as </w:t>
      </w:r>
      <w:r>
        <w:rPr>
          <w:i/>
        </w:rPr>
        <w:t>publisher</w:t>
      </w:r>
      <w:r>
        <w:t>)</w:t>
      </w:r>
    </w:p>
    <w:p w14:paraId="64FCB90C" w14:textId="77777777" w:rsidR="009C7607" w:rsidRDefault="00000000">
      <w:pPr>
        <w:ind w:left="426" w:hanging="426"/>
        <w:jc w:val="both"/>
        <w:rPr>
          <w:color w:val="000000"/>
        </w:rPr>
      </w:pPr>
      <w:r>
        <w:rPr>
          <w:color w:val="000000"/>
        </w:rPr>
        <w:t xml:space="preserve">American Psychological Association. (2019). </w:t>
      </w:r>
      <w:r>
        <w:rPr>
          <w:i/>
          <w:color w:val="000000"/>
        </w:rPr>
        <w:t>Publication manual of the American Psychological Association</w:t>
      </w:r>
      <w:r>
        <w:rPr>
          <w:color w:val="000000"/>
        </w:rPr>
        <w:t xml:space="preserve"> (7</w:t>
      </w:r>
      <w:r>
        <w:rPr>
          <w:color w:val="000000"/>
          <w:vertAlign w:val="superscript"/>
        </w:rPr>
        <w:t>th</w:t>
      </w:r>
      <w:r>
        <w:rPr>
          <w:color w:val="000000"/>
        </w:rPr>
        <w:t xml:space="preserve"> ed.). Author.</w:t>
      </w:r>
    </w:p>
    <w:p w14:paraId="4E53FA11" w14:textId="77777777" w:rsidR="009C7607" w:rsidRDefault="009C7607">
      <w:pPr>
        <w:ind w:left="426" w:hanging="426"/>
        <w:jc w:val="both"/>
        <w:rPr>
          <w:color w:val="000000"/>
        </w:rPr>
      </w:pPr>
    </w:p>
    <w:p w14:paraId="06AD4FEC" w14:textId="77777777" w:rsidR="009C7607" w:rsidRDefault="00000000">
      <w:pPr>
        <w:ind w:left="426" w:hanging="426"/>
        <w:jc w:val="both"/>
        <w:rPr>
          <w:color w:val="000000"/>
        </w:rPr>
      </w:pPr>
      <w:r>
        <w:rPr>
          <w:color w:val="000000"/>
        </w:rPr>
        <w:t>(Source: E-book)</w:t>
      </w:r>
    </w:p>
    <w:p w14:paraId="41DFB9DF" w14:textId="77777777" w:rsidR="009C7607" w:rsidRDefault="00000000">
      <w:pPr>
        <w:ind w:left="426" w:hanging="426"/>
        <w:jc w:val="both"/>
        <w:rPr>
          <w:color w:val="000000"/>
        </w:rPr>
      </w:pPr>
      <w:r>
        <w:rPr>
          <w:color w:val="000000"/>
        </w:rPr>
        <w:t xml:space="preserve">Bransford, J. D., Brown, A. L., &amp; Cocking, R. R. (2005). </w:t>
      </w:r>
      <w:r>
        <w:rPr>
          <w:i/>
          <w:color w:val="000000"/>
        </w:rPr>
        <w:t>How people learn: Brain, mind, experience and school.</w:t>
      </w:r>
      <w:r>
        <w:rPr>
          <w:color w:val="000000"/>
        </w:rPr>
        <w:t xml:space="preserve"> https://www.nap.edu/catalog/9853/how-people-learn-brain-mind-experience-and-school-expanded-edition. </w:t>
      </w:r>
    </w:p>
    <w:p w14:paraId="3EEA6F23" w14:textId="77777777" w:rsidR="009C7607" w:rsidRDefault="009C7607">
      <w:pPr>
        <w:ind w:left="426" w:hanging="426"/>
      </w:pPr>
    </w:p>
    <w:p w14:paraId="42B6645C" w14:textId="77777777" w:rsidR="009C7607" w:rsidRDefault="00000000">
      <w:pPr>
        <w:ind w:left="426" w:hanging="426"/>
        <w:jc w:val="both"/>
        <w:rPr>
          <w:color w:val="000000"/>
        </w:rPr>
      </w:pPr>
      <w:r>
        <w:rPr>
          <w:color w:val="000000"/>
        </w:rPr>
        <w:t>(Source: Edited book</w:t>
      </w:r>
      <w:r>
        <w:rPr>
          <w:i/>
          <w:color w:val="000000"/>
        </w:rPr>
        <w:t xml:space="preserve">, </w:t>
      </w:r>
      <w:r>
        <w:rPr>
          <w:color w:val="000000"/>
        </w:rPr>
        <w:t>with two editors or more)</w:t>
      </w:r>
    </w:p>
    <w:p w14:paraId="6A3504AC" w14:textId="77777777" w:rsidR="009C7607" w:rsidRDefault="00000000">
      <w:pPr>
        <w:ind w:left="426" w:hanging="426"/>
        <w:jc w:val="both"/>
        <w:rPr>
          <w:color w:val="000000"/>
        </w:rPr>
      </w:pPr>
      <w:r>
        <w:rPr>
          <w:color w:val="000000"/>
        </w:rPr>
        <w:lastRenderedPageBreak/>
        <w:t xml:space="preserve">Tobias, S., &amp; Duffy, T. M. (Eds.). (2009). </w:t>
      </w:r>
      <w:r>
        <w:rPr>
          <w:i/>
          <w:color w:val="000000"/>
        </w:rPr>
        <w:t>Constructivist instruction: Success or failure?</w:t>
      </w:r>
      <w:r>
        <w:rPr>
          <w:color w:val="000000"/>
        </w:rPr>
        <w:t xml:space="preserve"> Routledge.</w:t>
      </w:r>
    </w:p>
    <w:p w14:paraId="0F011FDE" w14:textId="77777777" w:rsidR="009C7607" w:rsidRDefault="009C7607">
      <w:pPr>
        <w:ind w:left="426" w:hanging="426"/>
        <w:jc w:val="both"/>
        <w:rPr>
          <w:color w:val="000000"/>
        </w:rPr>
      </w:pPr>
    </w:p>
    <w:p w14:paraId="393031E9" w14:textId="77777777" w:rsidR="009C7607" w:rsidRDefault="00000000">
      <w:pPr>
        <w:ind w:left="426" w:hanging="426"/>
        <w:jc w:val="both"/>
        <w:rPr>
          <w:color w:val="000000"/>
        </w:rPr>
      </w:pPr>
      <w:r>
        <w:rPr>
          <w:color w:val="000000"/>
        </w:rPr>
        <w:t>(Source: Book section)</w:t>
      </w:r>
    </w:p>
    <w:p w14:paraId="08F77C35" w14:textId="77777777" w:rsidR="009C7607" w:rsidRDefault="00000000">
      <w:pPr>
        <w:ind w:left="426" w:hanging="426"/>
        <w:jc w:val="both"/>
        <w:rPr>
          <w:color w:val="FF0000"/>
        </w:rPr>
      </w:pPr>
      <w:r>
        <w:rPr>
          <w:color w:val="000000"/>
        </w:rPr>
        <w:t xml:space="preserve">Sahlberg, P. (2012). The most wanted: Teachers and teacher education in Finland. In L. Darling-Hammond &amp; A. Lieberman (Eds.), </w:t>
      </w:r>
      <w:r>
        <w:rPr>
          <w:i/>
          <w:color w:val="000000"/>
        </w:rPr>
        <w:t>Teacher education around the world: Changing policies and practices</w:t>
      </w:r>
      <w:r>
        <w:rPr>
          <w:color w:val="000000"/>
        </w:rPr>
        <w:t xml:space="preserve"> (pp. 22-44). Routledge.</w:t>
      </w:r>
    </w:p>
    <w:p w14:paraId="1964B873" w14:textId="77777777" w:rsidR="009C7607" w:rsidRDefault="009C7607">
      <w:pPr>
        <w:ind w:left="426" w:hanging="426"/>
        <w:jc w:val="both"/>
        <w:rPr>
          <w:color w:val="000000"/>
        </w:rPr>
      </w:pPr>
    </w:p>
    <w:p w14:paraId="4804DA49" w14:textId="77777777" w:rsidR="009C7607" w:rsidRDefault="00000000">
      <w:pPr>
        <w:ind w:left="426" w:hanging="426"/>
        <w:jc w:val="both"/>
        <w:rPr>
          <w:color w:val="000000"/>
        </w:rPr>
      </w:pPr>
      <w:r>
        <w:rPr>
          <w:color w:val="000000"/>
        </w:rPr>
        <w:t>(Source: Book with one author)</w:t>
      </w:r>
    </w:p>
    <w:p w14:paraId="7D36F96F" w14:textId="77777777" w:rsidR="009C7607" w:rsidRDefault="00000000">
      <w:pPr>
        <w:ind w:left="426" w:hanging="426"/>
        <w:jc w:val="both"/>
        <w:rPr>
          <w:color w:val="000000"/>
        </w:rPr>
      </w:pPr>
      <w:r>
        <w:rPr>
          <w:color w:val="000000"/>
        </w:rPr>
        <w:t xml:space="preserve">Schunk, D. H. (2012a). </w:t>
      </w:r>
      <w:r>
        <w:rPr>
          <w:i/>
          <w:color w:val="000000"/>
        </w:rPr>
        <w:t xml:space="preserve">Learning </w:t>
      </w:r>
      <w:proofErr w:type="gramStart"/>
      <w:r>
        <w:rPr>
          <w:i/>
          <w:color w:val="000000"/>
        </w:rPr>
        <w:t>theories</w:t>
      </w:r>
      <w:proofErr w:type="gramEnd"/>
      <w:r>
        <w:rPr>
          <w:i/>
          <w:color w:val="000000"/>
        </w:rPr>
        <w:t xml:space="preserve"> an educational perspective</w:t>
      </w:r>
      <w:r>
        <w:rPr>
          <w:color w:val="000000"/>
        </w:rPr>
        <w:t>. Pearson Education.</w:t>
      </w:r>
    </w:p>
    <w:p w14:paraId="410C0C23" w14:textId="77777777" w:rsidR="009C7607" w:rsidRDefault="009C7607">
      <w:pPr>
        <w:ind w:left="426" w:hanging="426"/>
        <w:jc w:val="both"/>
        <w:rPr>
          <w:color w:val="000000"/>
        </w:rPr>
      </w:pPr>
    </w:p>
    <w:p w14:paraId="063A7B73" w14:textId="77777777" w:rsidR="009C7607" w:rsidRDefault="00000000">
      <w:pPr>
        <w:ind w:left="426" w:hanging="426"/>
        <w:jc w:val="both"/>
        <w:rPr>
          <w:color w:val="000000"/>
        </w:rPr>
      </w:pPr>
      <w:r>
        <w:rPr>
          <w:color w:val="000000"/>
        </w:rPr>
        <w:t>(Source: Book, translated, English into Indonesian, original title retained)</w:t>
      </w:r>
    </w:p>
    <w:p w14:paraId="0C9EB15D" w14:textId="77777777" w:rsidR="009C7607" w:rsidRDefault="00000000">
      <w:pPr>
        <w:ind w:left="426" w:hanging="426"/>
        <w:jc w:val="both"/>
        <w:rPr>
          <w:color w:val="000000"/>
        </w:rPr>
      </w:pPr>
      <w:r>
        <w:rPr>
          <w:color w:val="000000"/>
        </w:rPr>
        <w:t xml:space="preserve">Schunk, D. H. (2012b). </w:t>
      </w:r>
      <w:r>
        <w:rPr>
          <w:i/>
          <w:color w:val="000000"/>
        </w:rPr>
        <w:t>Learning theories: An educational perspective</w:t>
      </w:r>
      <w:r>
        <w:rPr>
          <w:color w:val="000000"/>
        </w:rPr>
        <w:t xml:space="preserve"> (Trans: E. Hamdiah &amp; R. Fajar). Pustaka Pelajar. (Original work published 2012).</w:t>
      </w:r>
    </w:p>
    <w:p w14:paraId="3F06F44F" w14:textId="77777777" w:rsidR="009C7607" w:rsidRDefault="009C7607">
      <w:pPr>
        <w:ind w:left="426" w:hanging="426"/>
        <w:jc w:val="both"/>
        <w:rPr>
          <w:color w:val="000000"/>
        </w:rPr>
      </w:pPr>
    </w:p>
    <w:p w14:paraId="08D74508" w14:textId="77777777" w:rsidR="009C7607" w:rsidRDefault="00000000">
      <w:pPr>
        <w:ind w:left="426" w:hanging="426"/>
        <w:jc w:val="both"/>
        <w:rPr>
          <w:color w:val="000000"/>
        </w:rPr>
      </w:pPr>
      <w:r>
        <w:rPr>
          <w:color w:val="000000"/>
        </w:rPr>
        <w:t>(Source: Book, translated, Indonesian into English, original and translated titles)</w:t>
      </w:r>
    </w:p>
    <w:p w14:paraId="457FFE93" w14:textId="77777777" w:rsidR="009C7607" w:rsidRDefault="00000000">
      <w:pPr>
        <w:ind w:left="426" w:hanging="426"/>
        <w:jc w:val="both"/>
        <w:rPr>
          <w:color w:val="000000"/>
        </w:rPr>
      </w:pPr>
      <w:proofErr w:type="spellStart"/>
      <w:r>
        <w:rPr>
          <w:color w:val="000000"/>
        </w:rPr>
        <w:t>Nurgiyantoro</w:t>
      </w:r>
      <w:proofErr w:type="spellEnd"/>
      <w:r>
        <w:rPr>
          <w:color w:val="000000"/>
        </w:rPr>
        <w:t xml:space="preserve">, B., Gunawan, G., &amp; Marzuki, M. (2017). </w:t>
      </w:r>
      <w:proofErr w:type="spellStart"/>
      <w:r>
        <w:rPr>
          <w:i/>
          <w:color w:val="000000"/>
        </w:rPr>
        <w:t>Statistik</w:t>
      </w:r>
      <w:proofErr w:type="spellEnd"/>
      <w:r>
        <w:rPr>
          <w:i/>
          <w:color w:val="000000"/>
        </w:rPr>
        <w:t xml:space="preserve"> </w:t>
      </w:r>
      <w:proofErr w:type="spellStart"/>
      <w:r>
        <w:rPr>
          <w:i/>
          <w:color w:val="000000"/>
        </w:rPr>
        <w:t>terapan</w:t>
      </w:r>
      <w:proofErr w:type="spellEnd"/>
      <w:r>
        <w:rPr>
          <w:i/>
          <w:color w:val="000000"/>
        </w:rPr>
        <w:t xml:space="preserve"> </w:t>
      </w:r>
      <w:proofErr w:type="spellStart"/>
      <w:r>
        <w:rPr>
          <w:i/>
          <w:color w:val="000000"/>
        </w:rPr>
        <w:t>untuk</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ilmu</w:t>
      </w:r>
      <w:proofErr w:type="spellEnd"/>
      <w:r>
        <w:rPr>
          <w:i/>
          <w:color w:val="000000"/>
        </w:rPr>
        <w:t xml:space="preserve"> </w:t>
      </w:r>
      <w:proofErr w:type="spellStart"/>
      <w:r>
        <w:rPr>
          <w:i/>
          <w:color w:val="000000"/>
        </w:rPr>
        <w:t>sosial</w:t>
      </w:r>
      <w:proofErr w:type="spellEnd"/>
      <w:r>
        <w:rPr>
          <w:i/>
          <w:color w:val="000000"/>
        </w:rPr>
        <w:t xml:space="preserve">. </w:t>
      </w:r>
      <w:r>
        <w:rPr>
          <w:color w:val="000000"/>
        </w:rPr>
        <w:t>[Applied statistics for social science research]. UGM Press.</w:t>
      </w:r>
    </w:p>
    <w:p w14:paraId="5A562FDB" w14:textId="77777777" w:rsidR="009C7607" w:rsidRDefault="009C7607">
      <w:pPr>
        <w:ind w:left="426" w:hanging="426"/>
        <w:jc w:val="both"/>
        <w:rPr>
          <w:color w:val="000000"/>
        </w:rPr>
      </w:pPr>
    </w:p>
    <w:p w14:paraId="3776D853" w14:textId="77777777" w:rsidR="009C7607" w:rsidRDefault="00000000">
      <w:pPr>
        <w:ind w:left="426" w:hanging="426"/>
        <w:jc w:val="both"/>
        <w:rPr>
          <w:color w:val="000000"/>
        </w:rPr>
      </w:pPr>
      <w:r>
        <w:rPr>
          <w:color w:val="000000"/>
        </w:rPr>
        <w:t>(Source: Book with two authors)</w:t>
      </w:r>
    </w:p>
    <w:p w14:paraId="6555B3FA" w14:textId="77777777" w:rsidR="009C7607" w:rsidRDefault="00000000">
      <w:pPr>
        <w:ind w:left="426" w:hanging="426"/>
        <w:jc w:val="both"/>
        <w:rPr>
          <w:color w:val="000000"/>
        </w:rPr>
      </w:pPr>
      <w:r>
        <w:rPr>
          <w:color w:val="000000"/>
        </w:rPr>
        <w:t xml:space="preserve">Tabachnick, B. G., &amp; Fidell, L. S. (2007). </w:t>
      </w:r>
      <w:r>
        <w:rPr>
          <w:i/>
          <w:color w:val="000000"/>
        </w:rPr>
        <w:t>Using multivariate statistics</w:t>
      </w:r>
      <w:r>
        <w:rPr>
          <w:color w:val="000000"/>
        </w:rPr>
        <w:t xml:space="preserve"> (5</w:t>
      </w:r>
      <w:r>
        <w:rPr>
          <w:color w:val="000000"/>
          <w:vertAlign w:val="superscript"/>
        </w:rPr>
        <w:t>th</w:t>
      </w:r>
      <w:r>
        <w:rPr>
          <w:color w:val="000000"/>
        </w:rPr>
        <w:t xml:space="preserve"> ed.). Allyn &amp; Bacon.</w:t>
      </w:r>
    </w:p>
    <w:p w14:paraId="23E67722" w14:textId="77777777" w:rsidR="009C7607" w:rsidRDefault="009C7607">
      <w:pPr>
        <w:ind w:firstLine="0"/>
        <w:jc w:val="both"/>
        <w:rPr>
          <w:b/>
          <w:color w:val="000000"/>
        </w:rPr>
      </w:pPr>
    </w:p>
    <w:p w14:paraId="5B7509C0" w14:textId="77777777" w:rsidR="009C7607" w:rsidRDefault="00000000">
      <w:pPr>
        <w:ind w:firstLine="0"/>
        <w:jc w:val="both"/>
        <w:rPr>
          <w:color w:val="000000"/>
        </w:rPr>
      </w:pPr>
      <w:r>
        <w:rPr>
          <w:color w:val="000000"/>
        </w:rPr>
        <w:t>(Source: Printed journal article)</w:t>
      </w:r>
    </w:p>
    <w:p w14:paraId="3403DFA5" w14:textId="77777777" w:rsidR="009C7607" w:rsidRDefault="00000000">
      <w:pPr>
        <w:ind w:left="426" w:hanging="426"/>
        <w:jc w:val="both"/>
        <w:rPr>
          <w:color w:val="000000"/>
        </w:rPr>
      </w:pPr>
      <w:r>
        <w:rPr>
          <w:color w:val="000000"/>
        </w:rPr>
        <w:t xml:space="preserve">Kusuma, F. I., </w:t>
      </w:r>
      <w:proofErr w:type="spellStart"/>
      <w:r>
        <w:rPr>
          <w:color w:val="000000"/>
        </w:rPr>
        <w:t>Sutadji</w:t>
      </w:r>
      <w:proofErr w:type="spellEnd"/>
      <w:r>
        <w:rPr>
          <w:color w:val="000000"/>
        </w:rPr>
        <w:t xml:space="preserve">, E., &amp; </w:t>
      </w:r>
      <w:proofErr w:type="spellStart"/>
      <w:r>
        <w:rPr>
          <w:color w:val="000000"/>
        </w:rPr>
        <w:t>Tuwoso</w:t>
      </w:r>
      <w:proofErr w:type="spellEnd"/>
      <w:r>
        <w:rPr>
          <w:color w:val="000000"/>
        </w:rPr>
        <w:t xml:space="preserve">. (2014). </w:t>
      </w:r>
      <w:proofErr w:type="spellStart"/>
      <w:r>
        <w:rPr>
          <w:color w:val="000000"/>
        </w:rPr>
        <w:t>Kontribusi</w:t>
      </w:r>
      <w:proofErr w:type="spellEnd"/>
      <w:r>
        <w:rPr>
          <w:color w:val="000000"/>
        </w:rPr>
        <w:t xml:space="preserve"> </w:t>
      </w:r>
      <w:proofErr w:type="spellStart"/>
      <w:r>
        <w:rPr>
          <w:color w:val="000000"/>
        </w:rPr>
        <w:t>dukungan</w:t>
      </w:r>
      <w:proofErr w:type="spellEnd"/>
      <w:r>
        <w:rPr>
          <w:color w:val="000000"/>
        </w:rPr>
        <w:t xml:space="preserve"> orang </w:t>
      </w:r>
      <w:proofErr w:type="spellStart"/>
      <w:r>
        <w:rPr>
          <w:color w:val="000000"/>
        </w:rPr>
        <w:t>tua</w:t>
      </w:r>
      <w:proofErr w:type="spellEnd"/>
      <w:r>
        <w:rPr>
          <w:color w:val="000000"/>
        </w:rPr>
        <w:t xml:space="preserve">, </w:t>
      </w:r>
      <w:proofErr w:type="spellStart"/>
      <w:r>
        <w:rPr>
          <w:color w:val="000000"/>
        </w:rPr>
        <w:t>penguasaan</w:t>
      </w:r>
      <w:proofErr w:type="spellEnd"/>
      <w:r>
        <w:rPr>
          <w:color w:val="000000"/>
        </w:rPr>
        <w:t xml:space="preserve"> </w:t>
      </w:r>
      <w:proofErr w:type="spellStart"/>
      <w:r>
        <w:rPr>
          <w:color w:val="000000"/>
        </w:rPr>
        <w:t>pengetahuan</w:t>
      </w:r>
      <w:proofErr w:type="spellEnd"/>
      <w:r>
        <w:rPr>
          <w:color w:val="000000"/>
        </w:rPr>
        <w:t xml:space="preserve"> </w:t>
      </w:r>
      <w:proofErr w:type="spellStart"/>
      <w:r>
        <w:rPr>
          <w:color w:val="000000"/>
        </w:rPr>
        <w:t>dasar</w:t>
      </w:r>
      <w:proofErr w:type="spellEnd"/>
      <w:r>
        <w:rPr>
          <w:color w:val="000000"/>
        </w:rPr>
        <w:t xml:space="preserve">, dan </w:t>
      </w:r>
      <w:proofErr w:type="spellStart"/>
      <w:r>
        <w:rPr>
          <w:color w:val="000000"/>
        </w:rPr>
        <w:t>motivasi</w:t>
      </w:r>
      <w:proofErr w:type="spellEnd"/>
      <w:r>
        <w:rPr>
          <w:color w:val="000000"/>
        </w:rPr>
        <w:t xml:space="preserve"> </w:t>
      </w:r>
      <w:proofErr w:type="spellStart"/>
      <w:r>
        <w:rPr>
          <w:color w:val="000000"/>
        </w:rPr>
        <w:t>berprestasi</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pencapaian</w:t>
      </w:r>
      <w:proofErr w:type="spellEnd"/>
      <w:r>
        <w:rPr>
          <w:color w:val="000000"/>
        </w:rPr>
        <w:t xml:space="preserve"> </w:t>
      </w:r>
      <w:proofErr w:type="spellStart"/>
      <w:r>
        <w:rPr>
          <w:color w:val="000000"/>
        </w:rPr>
        <w:t>kompetensi</w:t>
      </w:r>
      <w:proofErr w:type="spellEnd"/>
      <w:r>
        <w:rPr>
          <w:color w:val="000000"/>
        </w:rPr>
        <w:t xml:space="preserve"> </w:t>
      </w:r>
      <w:proofErr w:type="spellStart"/>
      <w:r>
        <w:rPr>
          <w:color w:val="000000"/>
        </w:rPr>
        <w:t>kejuruan</w:t>
      </w:r>
      <w:proofErr w:type="spellEnd"/>
      <w:r>
        <w:rPr>
          <w:color w:val="000000"/>
        </w:rPr>
        <w:t xml:space="preserve">. [Contribution of parents’ supports, basic knowledge mastery, and motivation towards achievement on vocational competencies]. </w:t>
      </w:r>
      <w:proofErr w:type="spellStart"/>
      <w:r>
        <w:rPr>
          <w:i/>
          <w:color w:val="000000"/>
        </w:rPr>
        <w:t>Jurnal</w:t>
      </w:r>
      <w:proofErr w:type="spellEnd"/>
      <w:r>
        <w:rPr>
          <w:i/>
          <w:color w:val="000000"/>
        </w:rPr>
        <w:t xml:space="preserve"> </w:t>
      </w:r>
      <w:proofErr w:type="spellStart"/>
      <w:r>
        <w:rPr>
          <w:i/>
          <w:color w:val="000000"/>
        </w:rPr>
        <w:t>Kependidikan</w:t>
      </w:r>
      <w:proofErr w:type="spellEnd"/>
      <w:r>
        <w:rPr>
          <w:i/>
          <w:color w:val="000000"/>
        </w:rPr>
        <w:t>, 44</w:t>
      </w:r>
      <w:r>
        <w:rPr>
          <w:color w:val="000000"/>
        </w:rPr>
        <w:t>(1)</w:t>
      </w:r>
      <w:r>
        <w:rPr>
          <w:i/>
          <w:color w:val="000000"/>
        </w:rPr>
        <w:t>,</w:t>
      </w:r>
      <w:r>
        <w:rPr>
          <w:color w:val="000000"/>
        </w:rPr>
        <w:t xml:space="preserve"> 1-14.</w:t>
      </w:r>
    </w:p>
    <w:p w14:paraId="13A78F11" w14:textId="77777777" w:rsidR="009C7607" w:rsidRDefault="009C7607">
      <w:pPr>
        <w:ind w:firstLine="0"/>
        <w:jc w:val="both"/>
        <w:rPr>
          <w:color w:val="000000"/>
        </w:rPr>
      </w:pPr>
    </w:p>
    <w:p w14:paraId="1E2835A7" w14:textId="77777777" w:rsidR="009C7607" w:rsidRDefault="00000000">
      <w:pPr>
        <w:ind w:firstLine="0"/>
        <w:jc w:val="both"/>
        <w:rPr>
          <w:color w:val="000000"/>
        </w:rPr>
      </w:pPr>
      <w:r>
        <w:rPr>
          <w:color w:val="000000"/>
        </w:rPr>
        <w:t xml:space="preserve">(Source: </w:t>
      </w:r>
      <w:r>
        <w:rPr>
          <w:i/>
          <w:color w:val="000000"/>
        </w:rPr>
        <w:t>Online</w:t>
      </w:r>
      <w:r>
        <w:rPr>
          <w:color w:val="000000"/>
        </w:rPr>
        <w:t xml:space="preserve"> journal article)</w:t>
      </w:r>
    </w:p>
    <w:p w14:paraId="079EFD2C" w14:textId="77777777" w:rsidR="009C7607" w:rsidRDefault="00000000">
      <w:pPr>
        <w:ind w:left="426" w:hanging="426"/>
        <w:jc w:val="both"/>
        <w:rPr>
          <w:color w:val="000000"/>
        </w:rPr>
      </w:pPr>
      <w:proofErr w:type="spellStart"/>
      <w:r>
        <w:rPr>
          <w:color w:val="0000FF"/>
          <w:u w:val="single"/>
        </w:rPr>
        <w:t>Nurgiyantoro</w:t>
      </w:r>
      <w:proofErr w:type="spellEnd"/>
      <w:r>
        <w:rPr>
          <w:color w:val="0000FF"/>
          <w:u w:val="single"/>
        </w:rPr>
        <w:t xml:space="preserve">, B. &amp; Efendi, A. (2017). </w:t>
      </w:r>
      <w:r>
        <w:rPr>
          <w:color w:val="000000"/>
        </w:rPr>
        <w:t>Re-actualization of puppet characters in modern Indonesian fictions of the 21</w:t>
      </w:r>
      <w:r>
        <w:rPr>
          <w:color w:val="000000"/>
          <w:vertAlign w:val="superscript"/>
        </w:rPr>
        <w:t>st</w:t>
      </w:r>
      <w:r>
        <w:rPr>
          <w:color w:val="000000"/>
        </w:rPr>
        <w:t xml:space="preserve"> century. </w:t>
      </w:r>
      <w:r>
        <w:rPr>
          <w:i/>
          <w:color w:val="000000"/>
        </w:rPr>
        <w:t>3L: The Southeast Asian Journal of English Language Studies</w:t>
      </w:r>
      <w:r>
        <w:rPr>
          <w:color w:val="000000"/>
        </w:rPr>
        <w:t xml:space="preserve">, </w:t>
      </w:r>
      <w:r>
        <w:rPr>
          <w:i/>
          <w:color w:val="000000"/>
        </w:rPr>
        <w:t>23</w:t>
      </w:r>
      <w:r>
        <w:rPr>
          <w:color w:val="000000"/>
        </w:rPr>
        <w:t xml:space="preserve">(2), 141-153. </w:t>
      </w:r>
      <w:proofErr w:type="spellStart"/>
      <w:r>
        <w:rPr>
          <w:color w:val="000000"/>
        </w:rPr>
        <w:t>doi</w:t>
      </w:r>
      <w:proofErr w:type="spellEnd"/>
      <w:r>
        <w:rPr>
          <w:color w:val="000000"/>
        </w:rPr>
        <w:t>: 10.17576/3L-2017-2302-11.</w:t>
      </w:r>
    </w:p>
    <w:p w14:paraId="7963289E" w14:textId="77777777" w:rsidR="009C7607" w:rsidRDefault="009C7607">
      <w:pPr>
        <w:ind w:left="426" w:hanging="426"/>
        <w:jc w:val="both"/>
        <w:rPr>
          <w:color w:val="000000"/>
        </w:rPr>
      </w:pPr>
    </w:p>
    <w:p w14:paraId="6C1A38F8" w14:textId="77777777" w:rsidR="009C7607" w:rsidRDefault="00000000">
      <w:pPr>
        <w:ind w:left="426" w:hanging="426"/>
        <w:jc w:val="both"/>
        <w:rPr>
          <w:color w:val="000000"/>
        </w:rPr>
      </w:pPr>
      <w:r>
        <w:rPr>
          <w:color w:val="000000"/>
        </w:rPr>
        <w:t>(Source: Journal article with three writers)</w:t>
      </w:r>
    </w:p>
    <w:p w14:paraId="450880CC" w14:textId="77777777" w:rsidR="009C7607" w:rsidRDefault="00000000">
      <w:pPr>
        <w:ind w:left="426" w:hanging="426"/>
        <w:jc w:val="both"/>
        <w:rPr>
          <w:color w:val="000000"/>
        </w:rPr>
      </w:pPr>
      <w:proofErr w:type="spellStart"/>
      <w:r>
        <w:rPr>
          <w:color w:val="000000"/>
        </w:rPr>
        <w:t>Retnowati</w:t>
      </w:r>
      <w:proofErr w:type="spellEnd"/>
      <w:r>
        <w:rPr>
          <w:color w:val="000000"/>
        </w:rPr>
        <w:t xml:space="preserve">, E., </w:t>
      </w:r>
      <w:proofErr w:type="spellStart"/>
      <w:r>
        <w:rPr>
          <w:color w:val="000000"/>
        </w:rPr>
        <w:t>Fathoni</w:t>
      </w:r>
      <w:proofErr w:type="spellEnd"/>
      <w:r>
        <w:rPr>
          <w:color w:val="000000"/>
        </w:rPr>
        <w:t xml:space="preserve">, Y., &amp; Chen, O. (2018). Mathematics problem solving skill acquisition: learning by problem posing or by problem solving? </w:t>
      </w:r>
      <w:proofErr w:type="spellStart"/>
      <w:r>
        <w:rPr>
          <w:color w:val="000000"/>
        </w:rPr>
        <w:t>Cakrawala</w:t>
      </w:r>
      <w:proofErr w:type="spellEnd"/>
      <w:r>
        <w:rPr>
          <w:color w:val="000000"/>
        </w:rPr>
        <w:t xml:space="preserve"> Pendidikan, 37(1), 1-10. </w:t>
      </w:r>
      <w:proofErr w:type="spellStart"/>
      <w:r>
        <w:rPr>
          <w:color w:val="000000"/>
        </w:rPr>
        <w:t>doi</w:t>
      </w:r>
      <w:proofErr w:type="spellEnd"/>
      <w:r>
        <w:rPr>
          <w:color w:val="000000"/>
        </w:rPr>
        <w:t xml:space="preserve">: </w:t>
      </w:r>
      <w:hyperlink r:id="rId9">
        <w:r w:rsidR="009C7607">
          <w:rPr>
            <w:color w:val="000000"/>
          </w:rPr>
          <w:t>10.21831/</w:t>
        </w:r>
        <w:proofErr w:type="gramStart"/>
        <w:r w:rsidR="009C7607">
          <w:rPr>
            <w:color w:val="000000"/>
          </w:rPr>
          <w:t>cp.v</w:t>
        </w:r>
        <w:proofErr w:type="gramEnd"/>
        <w:r w:rsidR="009C7607">
          <w:rPr>
            <w:color w:val="000000"/>
          </w:rPr>
          <w:t>37i1.18787</w:t>
        </w:r>
      </w:hyperlink>
      <w:r>
        <w:rPr>
          <w:color w:val="000000"/>
        </w:rPr>
        <w:t>.</w:t>
      </w:r>
    </w:p>
    <w:p w14:paraId="7241F1F1" w14:textId="77777777" w:rsidR="009C7607" w:rsidRDefault="009C7607">
      <w:pPr>
        <w:pStyle w:val="Title"/>
        <w:ind w:left="426" w:hanging="426"/>
      </w:pPr>
    </w:p>
    <w:p w14:paraId="66EB909A" w14:textId="77777777" w:rsidR="009C7607" w:rsidRDefault="00000000">
      <w:pPr>
        <w:ind w:left="426" w:hanging="426"/>
        <w:jc w:val="both"/>
        <w:rPr>
          <w:color w:val="000000"/>
        </w:rPr>
      </w:pPr>
      <w:r>
        <w:rPr>
          <w:color w:val="000000"/>
        </w:rPr>
        <w:t>(Source: Journal article with 3-7 writers)</w:t>
      </w:r>
    </w:p>
    <w:p w14:paraId="76174D11" w14:textId="77777777" w:rsidR="009C7607" w:rsidRDefault="00000000">
      <w:pPr>
        <w:ind w:left="426" w:hanging="426"/>
        <w:jc w:val="both"/>
        <w:rPr>
          <w:color w:val="000000"/>
        </w:rPr>
      </w:pPr>
      <w:proofErr w:type="gramStart"/>
      <w:r>
        <w:rPr>
          <w:color w:val="000000"/>
          <w:highlight w:val="white"/>
        </w:rPr>
        <w:t>Booth</w:t>
      </w:r>
      <w:proofErr w:type="gramEnd"/>
      <w:r>
        <w:rPr>
          <w:color w:val="000000"/>
          <w:highlight w:val="white"/>
        </w:rPr>
        <w:t>, J. L., McGinn, K. M., Young, L. K., &amp; Barbieri, C. (2015). Simple practice doesn’t always make perfect: Evidence from the worked example effect. </w:t>
      </w:r>
      <w:r>
        <w:rPr>
          <w:i/>
          <w:color w:val="000000"/>
          <w:highlight w:val="white"/>
        </w:rPr>
        <w:t>Policy Insights from the Behavioral and Brain Sciences</w:t>
      </w:r>
      <w:r>
        <w:rPr>
          <w:color w:val="000000"/>
          <w:highlight w:val="white"/>
        </w:rPr>
        <w:t>, </w:t>
      </w:r>
      <w:r>
        <w:rPr>
          <w:i/>
          <w:color w:val="000000"/>
          <w:highlight w:val="white"/>
        </w:rPr>
        <w:t>2</w:t>
      </w:r>
      <w:r>
        <w:rPr>
          <w:color w:val="000000"/>
          <w:highlight w:val="white"/>
        </w:rPr>
        <w:t>(1), 24-32. </w:t>
      </w:r>
      <w:proofErr w:type="spellStart"/>
      <w:r>
        <w:fldChar w:fldCharType="begin"/>
      </w:r>
      <w:r>
        <w:instrText>HYPERLINK "https://doi.org/10.1177/2372732215601691" \h</w:instrText>
      </w:r>
      <w:r>
        <w:fldChar w:fldCharType="separate"/>
      </w:r>
      <w:r>
        <w:rPr>
          <w:color w:val="0000FF"/>
          <w:highlight w:val="white"/>
          <w:u w:val="single"/>
        </w:rPr>
        <w:t>doi</w:t>
      </w:r>
      <w:proofErr w:type="spellEnd"/>
      <w:r>
        <w:rPr>
          <w:color w:val="0000FF"/>
          <w:highlight w:val="white"/>
          <w:u w:val="single"/>
        </w:rPr>
        <w:t>: 10.1177/2372732215601691</w:t>
      </w:r>
      <w:r>
        <w:rPr>
          <w:color w:val="0000FF"/>
          <w:highlight w:val="white"/>
          <w:u w:val="single"/>
        </w:rPr>
        <w:fldChar w:fldCharType="end"/>
      </w:r>
      <w:r>
        <w:rPr>
          <w:color w:val="000000"/>
        </w:rPr>
        <w:t>.</w:t>
      </w:r>
    </w:p>
    <w:p w14:paraId="76F47F4E" w14:textId="77777777" w:rsidR="009C7607" w:rsidRDefault="009C7607">
      <w:pPr>
        <w:ind w:left="426" w:hanging="426"/>
        <w:jc w:val="both"/>
        <w:rPr>
          <w:color w:val="000000"/>
        </w:rPr>
      </w:pPr>
    </w:p>
    <w:p w14:paraId="1CC4D68A" w14:textId="77777777" w:rsidR="009C7607" w:rsidRDefault="00000000">
      <w:pPr>
        <w:ind w:left="426" w:hanging="426"/>
        <w:jc w:val="both"/>
        <w:rPr>
          <w:color w:val="000000"/>
        </w:rPr>
      </w:pPr>
      <w:r>
        <w:rPr>
          <w:color w:val="000000"/>
        </w:rPr>
        <w:t>(Source: Proceeding)</w:t>
      </w:r>
    </w:p>
    <w:p w14:paraId="466721B5" w14:textId="77777777" w:rsidR="009C7607" w:rsidRDefault="00000000">
      <w:pPr>
        <w:ind w:left="426" w:hanging="426"/>
        <w:jc w:val="both"/>
        <w:rPr>
          <w:color w:val="000000"/>
        </w:rPr>
      </w:pPr>
      <w:proofErr w:type="spellStart"/>
      <w:r>
        <w:rPr>
          <w:color w:val="000000"/>
        </w:rPr>
        <w:t>Retnowati</w:t>
      </w:r>
      <w:proofErr w:type="spellEnd"/>
      <w:r>
        <w:rPr>
          <w:color w:val="000000"/>
        </w:rPr>
        <w:t xml:space="preserve">, E. (2012, 24-27 November). </w:t>
      </w:r>
      <w:r>
        <w:rPr>
          <w:i/>
          <w:color w:val="000000"/>
        </w:rPr>
        <w:t>Learning mathematics collaboratively or individually.</w:t>
      </w:r>
      <w:r>
        <w:rPr>
          <w:color w:val="000000"/>
        </w:rPr>
        <w:t xml:space="preserve"> Paper presented at the </w:t>
      </w:r>
      <w:proofErr w:type="spellStart"/>
      <w:proofErr w:type="gramStart"/>
      <w:r>
        <w:rPr>
          <w:color w:val="000000"/>
        </w:rPr>
        <w:t>The</w:t>
      </w:r>
      <w:proofErr w:type="spellEnd"/>
      <w:proofErr w:type="gramEnd"/>
      <w:r>
        <w:rPr>
          <w:color w:val="000000"/>
        </w:rPr>
        <w:t xml:space="preserve"> 2</w:t>
      </w:r>
      <w:r>
        <w:rPr>
          <w:color w:val="000000"/>
          <w:vertAlign w:val="superscript"/>
        </w:rPr>
        <w:t>nd</w:t>
      </w:r>
      <w:r>
        <w:rPr>
          <w:color w:val="000000"/>
        </w:rPr>
        <w:t xml:space="preserve"> International Conference of STEM in </w:t>
      </w:r>
      <w:r>
        <w:rPr>
          <w:color w:val="000000"/>
        </w:rPr>
        <w:lastRenderedPageBreak/>
        <w:t>Education, Beijing Normal University, China. From http://stem2012.bnu.edu.cn/data/short%20paper/stem2012_88.pdf.</w:t>
      </w:r>
    </w:p>
    <w:p w14:paraId="7D84F1B8" w14:textId="77777777" w:rsidR="009C7607" w:rsidRDefault="009C7607">
      <w:pPr>
        <w:ind w:left="426" w:hanging="426"/>
        <w:jc w:val="both"/>
        <w:rPr>
          <w:color w:val="000000"/>
        </w:rPr>
      </w:pPr>
    </w:p>
    <w:p w14:paraId="703A1F4B" w14:textId="77777777" w:rsidR="009C7607" w:rsidRDefault="00000000">
      <w:pPr>
        <w:ind w:left="426" w:hanging="426"/>
        <w:jc w:val="both"/>
        <w:rPr>
          <w:color w:val="000000"/>
        </w:rPr>
      </w:pPr>
      <w:r>
        <w:rPr>
          <w:color w:val="000000"/>
        </w:rPr>
        <w:t>(Source: Document; manual guide/government/institutional report)</w:t>
      </w:r>
    </w:p>
    <w:p w14:paraId="00CF7F67" w14:textId="77777777" w:rsidR="009C7607" w:rsidRDefault="00000000">
      <w:pPr>
        <w:ind w:left="426" w:hanging="426"/>
        <w:jc w:val="both"/>
        <w:rPr>
          <w:color w:val="000000"/>
        </w:rPr>
      </w:pPr>
      <w:r>
        <w:rPr>
          <w:color w:val="000000"/>
        </w:rPr>
        <w:t xml:space="preserve">NCTM (National Council of Teachers of Mathematics). (2000). </w:t>
      </w:r>
      <w:r>
        <w:rPr>
          <w:i/>
          <w:color w:val="000000"/>
        </w:rPr>
        <w:t>Principles and standards for school mathematics</w:t>
      </w:r>
      <w:r>
        <w:rPr>
          <w:color w:val="000000"/>
        </w:rPr>
        <w:t>. Reston, VA: Author.</w:t>
      </w:r>
    </w:p>
    <w:p w14:paraId="33574F56" w14:textId="77777777" w:rsidR="009C7607" w:rsidRDefault="009C7607">
      <w:pPr>
        <w:ind w:left="426" w:hanging="426"/>
        <w:jc w:val="both"/>
        <w:rPr>
          <w:color w:val="000000"/>
        </w:rPr>
      </w:pPr>
    </w:p>
    <w:p w14:paraId="378B6392" w14:textId="77777777" w:rsidR="009C7607" w:rsidRDefault="00000000">
      <w:pPr>
        <w:ind w:left="426" w:hanging="426"/>
        <w:jc w:val="both"/>
        <w:rPr>
          <w:color w:val="000000"/>
        </w:rPr>
      </w:pPr>
      <w:r>
        <w:rPr>
          <w:color w:val="000000"/>
        </w:rPr>
        <w:t>(Source: Document; legal law, act, constitution)</w:t>
      </w:r>
    </w:p>
    <w:p w14:paraId="7977A865" w14:textId="77777777" w:rsidR="009C7607" w:rsidRDefault="00000000">
      <w:pPr>
        <w:ind w:left="426" w:hanging="426"/>
        <w:jc w:val="both"/>
        <w:rPr>
          <w:color w:val="000000"/>
        </w:rPr>
      </w:pPr>
      <w:proofErr w:type="spellStart"/>
      <w:r>
        <w:rPr>
          <w:color w:val="000000"/>
        </w:rPr>
        <w:t>Permendiknas</w:t>
      </w:r>
      <w:proofErr w:type="spellEnd"/>
      <w:r>
        <w:rPr>
          <w:color w:val="000000"/>
        </w:rPr>
        <w:t xml:space="preserve"> RI 2009 No. 22. </w:t>
      </w:r>
      <w:proofErr w:type="spellStart"/>
      <w:r>
        <w:rPr>
          <w:i/>
          <w:color w:val="000000"/>
        </w:rPr>
        <w:t>Kompetensi</w:t>
      </w:r>
      <w:proofErr w:type="spellEnd"/>
      <w:r>
        <w:rPr>
          <w:i/>
          <w:color w:val="000000"/>
        </w:rPr>
        <w:t xml:space="preserve"> </w:t>
      </w:r>
      <w:proofErr w:type="spellStart"/>
      <w:r>
        <w:rPr>
          <w:i/>
          <w:color w:val="000000"/>
        </w:rPr>
        <w:t>dasar</w:t>
      </w:r>
      <w:proofErr w:type="spellEnd"/>
      <w:r>
        <w:rPr>
          <w:i/>
          <w:color w:val="000000"/>
        </w:rPr>
        <w:t xml:space="preserve"> </w:t>
      </w:r>
      <w:proofErr w:type="spellStart"/>
      <w:r>
        <w:rPr>
          <w:i/>
          <w:color w:val="000000"/>
        </w:rPr>
        <w:t>pendidikan</w:t>
      </w:r>
      <w:proofErr w:type="spellEnd"/>
      <w:r>
        <w:rPr>
          <w:i/>
          <w:color w:val="000000"/>
        </w:rPr>
        <w:t xml:space="preserve"> </w:t>
      </w:r>
      <w:proofErr w:type="spellStart"/>
      <w:r>
        <w:rPr>
          <w:i/>
          <w:color w:val="000000"/>
        </w:rPr>
        <w:t>pancasila</w:t>
      </w:r>
      <w:proofErr w:type="spellEnd"/>
      <w:r>
        <w:rPr>
          <w:i/>
          <w:color w:val="000000"/>
        </w:rPr>
        <w:t xml:space="preserve"> dan </w:t>
      </w:r>
      <w:proofErr w:type="spellStart"/>
      <w:r>
        <w:rPr>
          <w:i/>
          <w:color w:val="000000"/>
        </w:rPr>
        <w:t>kewarganegaraan</w:t>
      </w:r>
      <w:proofErr w:type="spellEnd"/>
      <w:r>
        <w:rPr>
          <w:i/>
          <w:color w:val="000000"/>
        </w:rPr>
        <w:t xml:space="preserve"> </w:t>
      </w:r>
      <w:proofErr w:type="spellStart"/>
      <w:r>
        <w:rPr>
          <w:i/>
          <w:color w:val="000000"/>
        </w:rPr>
        <w:t>Sekolah</w:t>
      </w:r>
      <w:proofErr w:type="spellEnd"/>
      <w:r>
        <w:rPr>
          <w:i/>
          <w:color w:val="000000"/>
        </w:rPr>
        <w:t xml:space="preserve"> Dasar Kelas I-VI</w:t>
      </w:r>
      <w:r>
        <w:rPr>
          <w:color w:val="000000"/>
        </w:rPr>
        <w:t>.  [Basic competence for Pancasila and civil education Primary School Grade I-VI].</w:t>
      </w:r>
    </w:p>
    <w:p w14:paraId="7E8436CE" w14:textId="77777777" w:rsidR="009C7607" w:rsidRDefault="009C7607">
      <w:pPr>
        <w:ind w:left="426" w:hanging="426"/>
        <w:jc w:val="both"/>
        <w:rPr>
          <w:b/>
          <w:color w:val="000000"/>
        </w:rPr>
      </w:pPr>
    </w:p>
    <w:p w14:paraId="31377074" w14:textId="77777777" w:rsidR="009C7607" w:rsidRDefault="00000000">
      <w:pPr>
        <w:ind w:left="426" w:hanging="426"/>
        <w:jc w:val="both"/>
        <w:rPr>
          <w:color w:val="000000"/>
        </w:rPr>
      </w:pPr>
      <w:r>
        <w:rPr>
          <w:color w:val="000000"/>
        </w:rPr>
        <w:t xml:space="preserve">(Source: Newspaper/magazine) </w:t>
      </w:r>
    </w:p>
    <w:p w14:paraId="36E1D01B" w14:textId="77777777" w:rsidR="009C7607" w:rsidRDefault="00000000">
      <w:pPr>
        <w:ind w:left="426" w:hanging="426"/>
        <w:jc w:val="both"/>
        <w:rPr>
          <w:color w:val="000000"/>
        </w:rPr>
      </w:pPr>
      <w:proofErr w:type="spellStart"/>
      <w:r>
        <w:rPr>
          <w:color w:val="000000"/>
        </w:rPr>
        <w:t>Suryaningsih</w:t>
      </w:r>
      <w:proofErr w:type="spellEnd"/>
      <w:r>
        <w:rPr>
          <w:color w:val="000000"/>
        </w:rPr>
        <w:t xml:space="preserve">, A. (2013, 10 </w:t>
      </w:r>
      <w:proofErr w:type="spellStart"/>
      <w:r>
        <w:rPr>
          <w:color w:val="000000"/>
        </w:rPr>
        <w:t>Desember</w:t>
      </w:r>
      <w:proofErr w:type="spellEnd"/>
      <w:r>
        <w:rPr>
          <w:color w:val="000000"/>
        </w:rPr>
        <w:t xml:space="preserve">). Tiga pilar </w:t>
      </w:r>
      <w:proofErr w:type="spellStart"/>
      <w:r>
        <w:rPr>
          <w:color w:val="000000"/>
        </w:rPr>
        <w:t>pendidikan</w:t>
      </w:r>
      <w:proofErr w:type="spellEnd"/>
      <w:r>
        <w:rPr>
          <w:color w:val="000000"/>
        </w:rPr>
        <w:t xml:space="preserve">. [The three pillars of education]. </w:t>
      </w:r>
      <w:r>
        <w:rPr>
          <w:i/>
          <w:color w:val="000000"/>
        </w:rPr>
        <w:t>Sinar Harapan</w:t>
      </w:r>
      <w:r>
        <w:rPr>
          <w:color w:val="000000"/>
        </w:rPr>
        <w:t xml:space="preserve">, </w:t>
      </w:r>
      <w:r>
        <w:rPr>
          <w:i/>
          <w:color w:val="000000"/>
        </w:rPr>
        <w:t>4</w:t>
      </w:r>
      <w:r>
        <w:rPr>
          <w:color w:val="000000"/>
        </w:rPr>
        <w:t>.</w:t>
      </w:r>
    </w:p>
    <w:p w14:paraId="0FF97DF8" w14:textId="77777777" w:rsidR="009C7607" w:rsidRDefault="00000000">
      <w:pPr>
        <w:ind w:left="426" w:hanging="426"/>
        <w:jc w:val="both"/>
        <w:rPr>
          <w:color w:val="000000"/>
        </w:rPr>
      </w:pPr>
      <w:r>
        <w:rPr>
          <w:color w:val="000000"/>
        </w:rPr>
        <w:t xml:space="preserve">(For </w:t>
      </w:r>
      <w:r>
        <w:rPr>
          <w:i/>
          <w:color w:val="000000"/>
        </w:rPr>
        <w:t>online</w:t>
      </w:r>
      <w:r>
        <w:rPr>
          <w:color w:val="000000"/>
        </w:rPr>
        <w:t xml:space="preserve"> </w:t>
      </w:r>
      <w:proofErr w:type="gramStart"/>
      <w:r>
        <w:rPr>
          <w:color w:val="000000"/>
        </w:rPr>
        <w:t>publication,  include</w:t>
      </w:r>
      <w:proofErr w:type="gramEnd"/>
      <w:r>
        <w:rPr>
          <w:color w:val="000000"/>
        </w:rPr>
        <w:t xml:space="preserve"> the </w:t>
      </w:r>
      <w:r>
        <w:rPr>
          <w:i/>
          <w:color w:val="000000"/>
        </w:rPr>
        <w:t>website</w:t>
      </w:r>
      <w:r>
        <w:rPr>
          <w:color w:val="000000"/>
        </w:rPr>
        <w:t xml:space="preserve"> address).</w:t>
      </w:r>
    </w:p>
    <w:p w14:paraId="7162449E" w14:textId="77777777" w:rsidR="009C7607" w:rsidRDefault="009C7607">
      <w:pPr>
        <w:ind w:left="426" w:hanging="426"/>
        <w:jc w:val="both"/>
        <w:rPr>
          <w:color w:val="000000"/>
        </w:rPr>
      </w:pPr>
    </w:p>
    <w:p w14:paraId="61EF6412" w14:textId="77777777" w:rsidR="009C7607" w:rsidRDefault="00000000">
      <w:pPr>
        <w:ind w:left="426" w:hanging="426"/>
        <w:jc w:val="both"/>
        <w:rPr>
          <w:color w:val="000000"/>
        </w:rPr>
      </w:pPr>
      <w:r>
        <w:rPr>
          <w:color w:val="000000"/>
        </w:rPr>
        <w:t xml:space="preserve">(Source: Seminar paper) </w:t>
      </w:r>
    </w:p>
    <w:p w14:paraId="37DEFE5A" w14:textId="77777777" w:rsidR="009C7607" w:rsidRDefault="00000000">
      <w:pPr>
        <w:ind w:left="426" w:hanging="426"/>
        <w:jc w:val="both"/>
        <w:rPr>
          <w:color w:val="000000"/>
        </w:rPr>
      </w:pPr>
      <w:r>
        <w:rPr>
          <w:color w:val="000000"/>
        </w:rPr>
        <w:t xml:space="preserve">Wilujeng, I., Masruri, M. S., &amp; </w:t>
      </w:r>
      <w:proofErr w:type="spellStart"/>
      <w:r>
        <w:rPr>
          <w:color w:val="000000"/>
        </w:rPr>
        <w:t>Wangid</w:t>
      </w:r>
      <w:proofErr w:type="spellEnd"/>
      <w:r>
        <w:rPr>
          <w:color w:val="000000"/>
        </w:rPr>
        <w:t xml:space="preserve">, M. N. (2016, April). </w:t>
      </w:r>
      <w:proofErr w:type="spellStart"/>
      <w:r>
        <w:rPr>
          <w:i/>
          <w:color w:val="000000"/>
        </w:rPr>
        <w:t>Pengembangan</w:t>
      </w:r>
      <w:proofErr w:type="spellEnd"/>
      <w:r>
        <w:rPr>
          <w:i/>
          <w:color w:val="000000"/>
        </w:rPr>
        <w:t xml:space="preserve"> subject specific pedagogy </w:t>
      </w:r>
      <w:proofErr w:type="spellStart"/>
      <w:r>
        <w:rPr>
          <w:i/>
          <w:color w:val="000000"/>
        </w:rPr>
        <w:t>tematik</w:t>
      </w:r>
      <w:proofErr w:type="spellEnd"/>
      <w:r>
        <w:rPr>
          <w:i/>
          <w:color w:val="000000"/>
        </w:rPr>
        <w:t xml:space="preserve"> </w:t>
      </w:r>
      <w:proofErr w:type="spellStart"/>
      <w:r>
        <w:rPr>
          <w:i/>
          <w:color w:val="000000"/>
        </w:rPr>
        <w:t>untuk</w:t>
      </w:r>
      <w:proofErr w:type="spellEnd"/>
      <w:r>
        <w:rPr>
          <w:i/>
          <w:color w:val="000000"/>
        </w:rPr>
        <w:t xml:space="preserve"> </w:t>
      </w:r>
      <w:proofErr w:type="spellStart"/>
      <w:r>
        <w:rPr>
          <w:i/>
          <w:color w:val="000000"/>
        </w:rPr>
        <w:t>mengembangkan</w:t>
      </w:r>
      <w:proofErr w:type="spellEnd"/>
      <w:r>
        <w:rPr>
          <w:i/>
          <w:color w:val="000000"/>
        </w:rPr>
        <w:t xml:space="preserve"> </w:t>
      </w:r>
      <w:proofErr w:type="spellStart"/>
      <w:r>
        <w:rPr>
          <w:i/>
          <w:color w:val="000000"/>
        </w:rPr>
        <w:t>karakter</w:t>
      </w:r>
      <w:proofErr w:type="spellEnd"/>
      <w:r>
        <w:rPr>
          <w:i/>
          <w:color w:val="000000"/>
        </w:rPr>
        <w:t xml:space="preserve"> </w:t>
      </w:r>
      <w:proofErr w:type="spellStart"/>
      <w:r>
        <w:rPr>
          <w:i/>
          <w:color w:val="000000"/>
        </w:rPr>
        <w:t>siswa</w:t>
      </w:r>
      <w:proofErr w:type="spellEnd"/>
      <w:r>
        <w:rPr>
          <w:i/>
          <w:color w:val="000000"/>
        </w:rPr>
        <w:t xml:space="preserve"> </w:t>
      </w:r>
      <w:proofErr w:type="spellStart"/>
      <w:r>
        <w:rPr>
          <w:i/>
          <w:color w:val="000000"/>
        </w:rPr>
        <w:t>sekolah</w:t>
      </w:r>
      <w:proofErr w:type="spellEnd"/>
      <w:r>
        <w:rPr>
          <w:i/>
          <w:color w:val="000000"/>
        </w:rPr>
        <w:t xml:space="preserve"> </w:t>
      </w:r>
      <w:proofErr w:type="spellStart"/>
      <w:r>
        <w:rPr>
          <w:i/>
          <w:color w:val="000000"/>
        </w:rPr>
        <w:t>dasar</w:t>
      </w:r>
      <w:proofErr w:type="spellEnd"/>
      <w:r>
        <w:rPr>
          <w:color w:val="000000"/>
        </w:rPr>
        <w:t xml:space="preserve">. [Development of thematic specific pedagogy subject in developing elementary student’s characters]. Paper presented in the seminar Research and Community Services in the Attempt to Produce Excellent Person, Yogyakarta. (For </w:t>
      </w:r>
      <w:r>
        <w:rPr>
          <w:i/>
          <w:color w:val="000000"/>
        </w:rPr>
        <w:t>online</w:t>
      </w:r>
      <w:r>
        <w:rPr>
          <w:color w:val="000000"/>
        </w:rPr>
        <w:t xml:space="preserve"> </w:t>
      </w:r>
      <w:proofErr w:type="gramStart"/>
      <w:r>
        <w:rPr>
          <w:color w:val="000000"/>
        </w:rPr>
        <w:t>publication,  include</w:t>
      </w:r>
      <w:proofErr w:type="gramEnd"/>
      <w:r>
        <w:rPr>
          <w:color w:val="000000"/>
        </w:rPr>
        <w:t xml:space="preserve"> the </w:t>
      </w:r>
      <w:r>
        <w:rPr>
          <w:i/>
          <w:color w:val="000000"/>
        </w:rPr>
        <w:t>website</w:t>
      </w:r>
      <w:r>
        <w:rPr>
          <w:color w:val="000000"/>
        </w:rPr>
        <w:t xml:space="preserve"> address).</w:t>
      </w:r>
    </w:p>
    <w:p w14:paraId="00D0872F" w14:textId="77777777" w:rsidR="009C7607" w:rsidRDefault="009C7607">
      <w:pPr>
        <w:ind w:left="426" w:hanging="426"/>
        <w:jc w:val="both"/>
        <w:rPr>
          <w:b/>
          <w:color w:val="000000"/>
        </w:rPr>
      </w:pPr>
    </w:p>
    <w:p w14:paraId="5ADECA4C" w14:textId="77777777" w:rsidR="009C7607" w:rsidRDefault="00000000">
      <w:pPr>
        <w:ind w:left="426" w:hanging="426"/>
        <w:jc w:val="both"/>
        <w:rPr>
          <w:color w:val="000000"/>
        </w:rPr>
      </w:pPr>
      <w:r>
        <w:rPr>
          <w:color w:val="000000"/>
        </w:rPr>
        <w:t xml:space="preserve">(Source: Thesis/Dissertation) </w:t>
      </w:r>
    </w:p>
    <w:p w14:paraId="3003B69B" w14:textId="77777777" w:rsidR="009C7607" w:rsidRDefault="00000000">
      <w:pPr>
        <w:ind w:left="426" w:hanging="426"/>
        <w:jc w:val="both"/>
        <w:rPr>
          <w:color w:val="000000"/>
        </w:rPr>
      </w:pPr>
      <w:r>
        <w:rPr>
          <w:color w:val="000000"/>
        </w:rPr>
        <w:t xml:space="preserve">Lestari, S. N. D. (2014). </w:t>
      </w:r>
      <w:proofErr w:type="spellStart"/>
      <w:r>
        <w:rPr>
          <w:color w:val="000000"/>
        </w:rPr>
        <w:t>Analisis</w:t>
      </w:r>
      <w:proofErr w:type="spellEnd"/>
      <w:r>
        <w:rPr>
          <w:color w:val="000000"/>
        </w:rPr>
        <w:t xml:space="preserve"> </w:t>
      </w:r>
      <w:proofErr w:type="spellStart"/>
      <w:r>
        <w:rPr>
          <w:color w:val="000000"/>
        </w:rPr>
        <w:t>faktor-faktor</w:t>
      </w:r>
      <w:proofErr w:type="spellEnd"/>
      <w:r>
        <w:rPr>
          <w:color w:val="000000"/>
        </w:rPr>
        <w:t xml:space="preserve"> yang </w:t>
      </w:r>
      <w:proofErr w:type="spellStart"/>
      <w:r>
        <w:rPr>
          <w:color w:val="000000"/>
        </w:rPr>
        <w:t>mempengaruhi</w:t>
      </w:r>
      <w:proofErr w:type="spellEnd"/>
      <w:r>
        <w:rPr>
          <w:color w:val="000000"/>
        </w:rPr>
        <w:t xml:space="preserve"> </w:t>
      </w:r>
      <w:proofErr w:type="spellStart"/>
      <w:r>
        <w:rPr>
          <w:color w:val="000000"/>
        </w:rPr>
        <w:t>kinerja</w:t>
      </w:r>
      <w:proofErr w:type="spellEnd"/>
      <w:r>
        <w:rPr>
          <w:color w:val="000000"/>
        </w:rPr>
        <w:t xml:space="preserve"> </w:t>
      </w:r>
      <w:proofErr w:type="spellStart"/>
      <w:r>
        <w:rPr>
          <w:color w:val="000000"/>
        </w:rPr>
        <w:t>pengelolaan</w:t>
      </w:r>
      <w:proofErr w:type="spellEnd"/>
      <w:r>
        <w:rPr>
          <w:color w:val="000000"/>
        </w:rPr>
        <w:t xml:space="preserve"> </w:t>
      </w:r>
      <w:proofErr w:type="spellStart"/>
      <w:r>
        <w:rPr>
          <w:color w:val="000000"/>
        </w:rPr>
        <w:t>keuangan</w:t>
      </w:r>
      <w:proofErr w:type="spellEnd"/>
      <w:r>
        <w:rPr>
          <w:color w:val="000000"/>
        </w:rPr>
        <w:t xml:space="preserve"> PTN: Studi </w:t>
      </w:r>
      <w:proofErr w:type="spellStart"/>
      <w:r>
        <w:rPr>
          <w:color w:val="000000"/>
        </w:rPr>
        <w:t>kasus</w:t>
      </w:r>
      <w:proofErr w:type="spellEnd"/>
      <w:r>
        <w:rPr>
          <w:color w:val="000000"/>
        </w:rPr>
        <w:t xml:space="preserve"> di UGM [Factor analysis influencing financial management of state universities: A case study in UGM. (Thesis, UGM).</w:t>
      </w:r>
    </w:p>
    <w:p w14:paraId="198113F4" w14:textId="77777777" w:rsidR="009C7607" w:rsidRDefault="009C7607">
      <w:pPr>
        <w:ind w:left="426" w:hanging="426"/>
        <w:jc w:val="both"/>
        <w:rPr>
          <w:color w:val="000000"/>
        </w:rPr>
      </w:pPr>
    </w:p>
    <w:p w14:paraId="07E74199" w14:textId="77777777" w:rsidR="009C7607" w:rsidRDefault="00000000">
      <w:pPr>
        <w:ind w:left="426" w:hanging="426"/>
        <w:rPr>
          <w:b/>
        </w:rPr>
      </w:pPr>
      <w:r>
        <w:rPr>
          <w:b/>
        </w:rPr>
        <w:t xml:space="preserve">Appendix </w:t>
      </w:r>
    </w:p>
    <w:p w14:paraId="4DCC48C6" w14:textId="77777777" w:rsidR="009C7607" w:rsidRDefault="00000000">
      <w:pPr>
        <w:ind w:left="426" w:hanging="426"/>
      </w:pPr>
      <w:r>
        <w:tab/>
        <w:t>Appendixes (attachments) are not compulsory.</w:t>
      </w:r>
    </w:p>
    <w:p w14:paraId="3110A4A1" w14:textId="77777777" w:rsidR="009C7607" w:rsidRDefault="009C7607">
      <w:pPr>
        <w:ind w:left="426" w:hanging="426"/>
      </w:pPr>
    </w:p>
    <w:p w14:paraId="66888004" w14:textId="77777777" w:rsidR="009C7607" w:rsidRDefault="00000000">
      <w:pPr>
        <w:ind w:left="426" w:hanging="426"/>
        <w:jc w:val="both"/>
        <w:rPr>
          <w:color w:val="000000"/>
        </w:rPr>
      </w:pPr>
      <w:r>
        <w:rPr>
          <w:color w:val="000000"/>
        </w:rPr>
        <w:t xml:space="preserve">Taken from a primary source (journal/scientific magazine, scientific report). Recent (maximally the last 10 years).  </w:t>
      </w:r>
    </w:p>
    <w:sectPr w:rsidR="009C7607">
      <w:pgSz w:w="11906" w:h="16838"/>
      <w:pgMar w:top="1701" w:right="1588" w:bottom="1701" w:left="15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5C1E"/>
    <w:multiLevelType w:val="multilevel"/>
    <w:tmpl w:val="1F715C1E"/>
    <w:lvl w:ilvl="0">
      <w:start w:val="1"/>
      <w:numFmt w:val="decimal"/>
      <w:pStyle w:val="CPTABLE"/>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5551175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68"/>
    <w:rsid w:val="00047C3F"/>
    <w:rsid w:val="00202EE1"/>
    <w:rsid w:val="002A1D68"/>
    <w:rsid w:val="00616DF1"/>
    <w:rsid w:val="0088080D"/>
    <w:rsid w:val="009C7607"/>
    <w:rsid w:val="00A743A8"/>
    <w:rsid w:val="00E75B88"/>
    <w:rsid w:val="00F87C1B"/>
    <w:rsid w:val="2B6E18B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AB1A10D"/>
  <w15:docId w15:val="{1FC3843C-A8DD-4CC6-97B3-DEA268FF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454"/>
    </w:pPr>
    <w:rPr>
      <w:sz w:val="24"/>
      <w:szCs w:val="24"/>
      <w:lang w:val="en-US" w:eastAsia="zh-CN"/>
    </w:rPr>
  </w:style>
  <w:style w:type="paragraph" w:styleId="Heading1">
    <w:name w:val="heading 1"/>
    <w:basedOn w:val="Normal"/>
    <w:next w:val="Normal"/>
    <w:link w:val="Heading1Char"/>
    <w:uiPriority w:val="9"/>
    <w:qFormat/>
    <w:pPr>
      <w:keepNext/>
      <w:keepLines/>
      <w:ind w:firstLine="0"/>
      <w:outlineLvl w:val="0"/>
    </w:pPr>
    <w:rPr>
      <w:rFonts w:ascii="Times New Roman Bold" w:eastAsiaTheme="majorEastAsia" w:hAnsi="Times New Roman Bold" w:cstheme="majorBidi"/>
      <w:b/>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pPr>
      <w:jc w:val="both"/>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Pr>
      <w:color w:val="0000FF"/>
      <w:u w:val="single"/>
    </w:rPr>
  </w:style>
  <w:style w:type="paragraph" w:styleId="NormalWeb">
    <w:name w:val="Normal (Web)"/>
    <w:basedOn w:val="Normal"/>
    <w:uiPriority w:val="99"/>
    <w:semiHidden/>
    <w:unhideWhenUsed/>
    <w:pPr>
      <w:spacing w:before="100" w:beforeAutospacing="1" w:after="100" w:afterAutospacing="1"/>
    </w:pPr>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jc w:val="center"/>
    </w:pPr>
    <w:rPr>
      <w:rFonts w:ascii="Times New Roman Bold" w:eastAsiaTheme="majorEastAsia" w:hAnsi="Times New Roman Bold" w:cstheme="majorBidi"/>
      <w:b/>
      <w:szCs w:val="56"/>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customStyle="1" w:styleId="NoParagraphStyle">
    <w:name w:val="[No Paragraph Style]"/>
    <w:link w:val="NoParagraphStyleChar"/>
    <w:pPr>
      <w:autoSpaceDE w:val="0"/>
      <w:autoSpaceDN w:val="0"/>
      <w:adjustRightInd w:val="0"/>
      <w:spacing w:line="288" w:lineRule="auto"/>
      <w:ind w:firstLine="454"/>
      <w:textAlignment w:val="center"/>
    </w:pPr>
    <w:rPr>
      <w:color w:val="000000"/>
      <w:sz w:val="24"/>
      <w:szCs w:val="24"/>
      <w:lang w:val="en-US" w:eastAsia="zh-CN"/>
    </w:rPr>
  </w:style>
  <w:style w:type="paragraph" w:customStyle="1" w:styleId="03Bodi">
    <w:name w:val="03. Bodi"/>
    <w:basedOn w:val="NoParagraphStyle"/>
    <w:uiPriority w:val="99"/>
    <w:pPr>
      <w:suppressAutoHyphens/>
      <w:spacing w:line="280" w:lineRule="atLeast"/>
      <w:ind w:firstLine="397"/>
      <w:jc w:val="both"/>
    </w:pPr>
    <w:rPr>
      <w:sz w:val="23"/>
      <w:szCs w:val="23"/>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99"/>
    <w:qFormat/>
    <w:pPr>
      <w:suppressAutoHyphens/>
      <w:autoSpaceDE w:val="0"/>
      <w:autoSpaceDN w:val="0"/>
      <w:adjustRightInd w:val="0"/>
      <w:spacing w:before="240" w:line="288" w:lineRule="auto"/>
      <w:ind w:left="142" w:hanging="142"/>
      <w:jc w:val="both"/>
      <w:textAlignment w:val="center"/>
    </w:pPr>
    <w:rPr>
      <w:rFonts w:ascii="Calibri" w:eastAsiaTheme="minorHAnsi" w:hAnsi="Calibri" w:cs="Calibri"/>
      <w:color w:val="000000"/>
      <w:sz w:val="22"/>
      <w:szCs w:val="22"/>
    </w:rPr>
  </w:style>
  <w:style w:type="paragraph" w:customStyle="1" w:styleId="BasicParagraph">
    <w:name w:val="[Basic Paragraph]"/>
    <w:basedOn w:val="NoParagraphStyle"/>
    <w:uiPriority w:val="99"/>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TitleChar">
    <w:name w:val="Title Char"/>
    <w:basedOn w:val="DefaultParagraphFont"/>
    <w:link w:val="Title"/>
    <w:rPr>
      <w:rFonts w:ascii="Times New Roman Bold" w:eastAsiaTheme="majorEastAsia" w:hAnsi="Times New Roman Bold" w:cstheme="majorBidi"/>
      <w:b/>
      <w:sz w:val="24"/>
      <w:szCs w:val="56"/>
    </w:rPr>
  </w:style>
  <w:style w:type="paragraph" w:customStyle="1" w:styleId="Identification">
    <w:name w:val="Identification"/>
    <w:basedOn w:val="NoParagraphStyle"/>
    <w:next w:val="Normal"/>
    <w:link w:val="IdentificationChar"/>
    <w:qFormat/>
    <w:pPr>
      <w:spacing w:line="240" w:lineRule="auto"/>
      <w:jc w:val="center"/>
    </w:pPr>
    <w:rPr>
      <w:rFonts w:ascii="Times New Roman Bold" w:hAnsi="Times New Roman Bold"/>
      <w:b/>
    </w:rPr>
  </w:style>
  <w:style w:type="paragraph" w:customStyle="1" w:styleId="Abstrak">
    <w:name w:val="Abstrak"/>
    <w:basedOn w:val="NoParagraphStyle"/>
    <w:link w:val="AbstrakChar"/>
    <w:qFormat/>
    <w:pPr>
      <w:spacing w:line="240" w:lineRule="auto"/>
      <w:jc w:val="center"/>
    </w:pPr>
    <w:rPr>
      <w:b/>
    </w:rPr>
  </w:style>
  <w:style w:type="character" w:customStyle="1" w:styleId="NoParagraphStyleChar">
    <w:name w:val="[No Paragraph Style] Char"/>
    <w:basedOn w:val="DefaultParagraphFont"/>
    <w:link w:val="NoParagraphStyle"/>
    <w:rPr>
      <w:rFonts w:ascii="Times New Roman" w:hAnsi="Times New Roman" w:cs="Times New Roman"/>
      <w:color w:val="000000"/>
      <w:sz w:val="24"/>
      <w:szCs w:val="24"/>
    </w:rPr>
  </w:style>
  <w:style w:type="character" w:customStyle="1" w:styleId="IdentificationChar">
    <w:name w:val="Identification Char"/>
    <w:basedOn w:val="NoParagraphStyleChar"/>
    <w:link w:val="Identification"/>
    <w:rPr>
      <w:rFonts w:ascii="Times New Roman Bold" w:hAnsi="Times New Roman Bold" w:cs="Times New Roman"/>
      <w:b/>
      <w:color w:val="000000"/>
      <w:sz w:val="24"/>
      <w:szCs w:val="24"/>
      <w:lang w:val="id-ID"/>
    </w:rPr>
  </w:style>
  <w:style w:type="paragraph" w:customStyle="1" w:styleId="Katakunci">
    <w:name w:val="Kata kunci"/>
    <w:basedOn w:val="NoParagraphStyle"/>
    <w:link w:val="KatakunciChar"/>
    <w:qFormat/>
    <w:pPr>
      <w:spacing w:line="240" w:lineRule="auto"/>
      <w:ind w:left="1247" w:hanging="1247"/>
    </w:pPr>
  </w:style>
  <w:style w:type="character" w:customStyle="1" w:styleId="AbstrakChar">
    <w:name w:val="Abstrak Char"/>
    <w:basedOn w:val="NoParagraphStyleChar"/>
    <w:link w:val="Abstrak"/>
    <w:rPr>
      <w:rFonts w:ascii="Times New Roman" w:hAnsi="Times New Roman" w:cs="Times New Roman"/>
      <w:b/>
      <w:color w:val="000000"/>
      <w:sz w:val="24"/>
      <w:szCs w:val="24"/>
    </w:rPr>
  </w:style>
  <w:style w:type="character" w:customStyle="1" w:styleId="Heading1Char">
    <w:name w:val="Heading 1 Char"/>
    <w:basedOn w:val="DefaultParagraphFont"/>
    <w:link w:val="Heading1"/>
    <w:uiPriority w:val="9"/>
    <w:rPr>
      <w:rFonts w:ascii="Times New Roman Bold" w:eastAsiaTheme="majorEastAsia" w:hAnsi="Times New Roman Bold" w:cstheme="majorBidi"/>
      <w:b/>
      <w:sz w:val="24"/>
      <w:szCs w:val="32"/>
    </w:rPr>
  </w:style>
  <w:style w:type="character" w:customStyle="1" w:styleId="KatakunciChar">
    <w:name w:val="Kata kunci Char"/>
    <w:basedOn w:val="NoParagraphStyleChar"/>
    <w:link w:val="Katakunci"/>
    <w:rPr>
      <w:rFonts w:ascii="Times New Roman" w:hAnsi="Times New Roman" w:cs="Times New Roman"/>
      <w:color w:val="000000"/>
      <w:sz w:val="24"/>
      <w:szCs w:val="24"/>
      <w:lang w:val="id-ID"/>
    </w:rPr>
  </w:style>
  <w:style w:type="paragraph" w:customStyle="1" w:styleId="SUBTITLE1">
    <w:name w:val="SUBTITLE1"/>
    <w:link w:val="SUBTITLE1Char"/>
    <w:qFormat/>
    <w:pPr>
      <w:ind w:firstLine="454"/>
    </w:pPr>
    <w:rPr>
      <w:rFonts w:eastAsiaTheme="majorEastAsia" w:cstheme="majorBidi"/>
      <w:b/>
      <w:sz w:val="24"/>
      <w:szCs w:val="32"/>
      <w:lang w:val="en-US" w:eastAsia="zh-CN"/>
    </w:rPr>
  </w:style>
  <w:style w:type="paragraph" w:customStyle="1" w:styleId="Paragraf">
    <w:name w:val="Paragraf"/>
    <w:basedOn w:val="Normal"/>
    <w:link w:val="ParagrafChar"/>
    <w:qFormat/>
    <w:pPr>
      <w:jc w:val="both"/>
    </w:pPr>
  </w:style>
  <w:style w:type="character" w:customStyle="1" w:styleId="SUBTITLE1Char">
    <w:name w:val="SUBTITLE1 Char"/>
    <w:basedOn w:val="DefaultParagraphFont"/>
    <w:link w:val="SUBTITLE1"/>
    <w:rPr>
      <w:rFonts w:ascii="Times New Roman" w:eastAsiaTheme="majorEastAsia" w:hAnsi="Times New Roman" w:cstheme="majorBidi"/>
      <w:b/>
      <w:sz w:val="24"/>
      <w:szCs w:val="32"/>
      <w:lang w:val="id-ID"/>
    </w:rPr>
  </w:style>
  <w:style w:type="paragraph" w:customStyle="1" w:styleId="Style1">
    <w:name w:val="Style1"/>
    <w:basedOn w:val="Normal"/>
    <w:link w:val="Style1Char"/>
    <w:qFormat/>
    <w:pPr>
      <w:suppressAutoHyphens/>
      <w:autoSpaceDE w:val="0"/>
      <w:autoSpaceDN w:val="0"/>
      <w:adjustRightInd w:val="0"/>
      <w:ind w:left="454" w:firstLine="0"/>
      <w:jc w:val="both"/>
      <w:textAlignment w:val="center"/>
    </w:pPr>
    <w:rPr>
      <w:rFonts w:eastAsiaTheme="minorHAnsi"/>
      <w:i/>
      <w:iCs/>
      <w:color w:val="000000"/>
      <w:spacing w:val="2"/>
    </w:rPr>
  </w:style>
  <w:style w:type="character" w:customStyle="1" w:styleId="ParagrafChar">
    <w:name w:val="Paragraf Char"/>
    <w:basedOn w:val="DefaultParagraphFont"/>
    <w:link w:val="Paragraf"/>
    <w:rPr>
      <w:rFonts w:ascii="Times New Roman" w:eastAsia="Times New Roman" w:hAnsi="Times New Roman" w:cs="Times New Roman"/>
      <w:sz w:val="24"/>
      <w:szCs w:val="24"/>
      <w:lang w:val="id-ID"/>
    </w:rPr>
  </w:style>
  <w:style w:type="character" w:customStyle="1" w:styleId="Style1Char">
    <w:name w:val="Style1 Char"/>
    <w:basedOn w:val="DefaultParagraphFont"/>
    <w:link w:val="Style1"/>
    <w:rPr>
      <w:rFonts w:ascii="Times New Roman" w:hAnsi="Times New Roman" w:cs="Times New Roman"/>
      <w:i/>
      <w:iCs/>
      <w:color w:val="000000"/>
      <w:spacing w:val="2"/>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Institution">
    <w:name w:val="Institution"/>
    <w:basedOn w:val="Identification"/>
    <w:qFormat/>
    <w:rPr>
      <w:rFonts w:ascii="Times New Roman" w:hAnsi="Times New Roman"/>
      <w:b w:val="0"/>
    </w:rPr>
  </w:style>
  <w:style w:type="paragraph" w:customStyle="1" w:styleId="Email">
    <w:name w:val="Email"/>
    <w:basedOn w:val="Institution"/>
    <w:qFormat/>
  </w:style>
  <w:style w:type="paragraph" w:customStyle="1" w:styleId="IsiAbstrak">
    <w:name w:val="Isi Abstrak"/>
    <w:basedOn w:val="Normal"/>
    <w:qFormat/>
    <w:pPr>
      <w:jc w:val="both"/>
    </w:pPr>
  </w:style>
  <w:style w:type="paragraph" w:customStyle="1" w:styleId="DaftarPustaka">
    <w:name w:val="Daftar Pustaka"/>
    <w:basedOn w:val="Normal"/>
    <w:qFormat/>
    <w:pPr>
      <w:ind w:left="454" w:hanging="454"/>
      <w:jc w:val="both"/>
    </w:pPr>
    <w:rPr>
      <w:lang w:val="sv-SE"/>
    </w:rPr>
  </w:style>
  <w:style w:type="paragraph" w:customStyle="1" w:styleId="CPTitle">
    <w:name w:val="CP_Title"/>
    <w:basedOn w:val="Normal"/>
    <w:link w:val="CPTitleChar"/>
    <w:qFormat/>
    <w:pPr>
      <w:widowControl w:val="0"/>
      <w:autoSpaceDE w:val="0"/>
      <w:autoSpaceDN w:val="0"/>
      <w:adjustRightInd w:val="0"/>
      <w:ind w:firstLine="0"/>
      <w:contextualSpacing/>
      <w:jc w:val="center"/>
    </w:pPr>
    <w:rPr>
      <w:rFonts w:eastAsia="Calibri"/>
      <w:b/>
      <w:bCs/>
      <w:spacing w:val="-5"/>
      <w:szCs w:val="22"/>
      <w:lang w:val="en-GB"/>
    </w:rPr>
  </w:style>
  <w:style w:type="character" w:customStyle="1" w:styleId="CPTitleChar">
    <w:name w:val="CP_Title Char"/>
    <w:link w:val="CPTitle"/>
    <w:rPr>
      <w:rFonts w:ascii="Times New Roman" w:eastAsia="Calibri" w:hAnsi="Times New Roman" w:cs="Times New Roman"/>
      <w:b/>
      <w:bCs/>
      <w:spacing w:val="-5"/>
      <w:sz w:val="24"/>
      <w:lang w:val="en-GB"/>
    </w:rPr>
  </w:style>
  <w:style w:type="paragraph" w:customStyle="1" w:styleId="CPAuthor">
    <w:name w:val="CP_Author"/>
    <w:basedOn w:val="Normal"/>
    <w:link w:val="CPAuthorChar"/>
    <w:qFormat/>
    <w:pPr>
      <w:widowControl w:val="0"/>
      <w:autoSpaceDE w:val="0"/>
      <w:autoSpaceDN w:val="0"/>
      <w:adjustRightInd w:val="0"/>
      <w:spacing w:line="239" w:lineRule="auto"/>
      <w:ind w:right="49" w:firstLine="0"/>
      <w:contextualSpacing/>
      <w:jc w:val="center"/>
    </w:pPr>
    <w:rPr>
      <w:rFonts w:eastAsia="Calibri"/>
      <w:b/>
      <w:bCs/>
      <w:spacing w:val="2"/>
      <w:szCs w:val="22"/>
      <w:lang w:val="en-GB"/>
    </w:rPr>
  </w:style>
  <w:style w:type="character" w:customStyle="1" w:styleId="CPAuthorChar">
    <w:name w:val="CP_Author Char"/>
    <w:link w:val="CPAuthor"/>
    <w:rPr>
      <w:rFonts w:ascii="Times New Roman" w:eastAsia="Calibri" w:hAnsi="Times New Roman" w:cs="Times New Roman"/>
      <w:b/>
      <w:bCs/>
      <w:spacing w:val="2"/>
      <w:sz w:val="24"/>
      <w:lang w:val="en-GB"/>
    </w:rPr>
  </w:style>
  <w:style w:type="paragraph" w:customStyle="1" w:styleId="CPKeyword">
    <w:name w:val="CP_Keyword"/>
    <w:basedOn w:val="Normal"/>
    <w:link w:val="CPKeywordChar"/>
    <w:qFormat/>
    <w:pPr>
      <w:widowControl w:val="0"/>
      <w:autoSpaceDE w:val="0"/>
      <w:autoSpaceDN w:val="0"/>
      <w:adjustRightInd w:val="0"/>
      <w:ind w:firstLine="0"/>
      <w:contextualSpacing/>
      <w:jc w:val="both"/>
    </w:pPr>
    <w:rPr>
      <w:rFonts w:eastAsia="Calibri"/>
      <w:b/>
      <w:bCs/>
      <w:i/>
      <w:iCs/>
      <w:szCs w:val="22"/>
      <w:lang w:val="en-GB"/>
    </w:rPr>
  </w:style>
  <w:style w:type="character" w:customStyle="1" w:styleId="CPKeywordChar">
    <w:name w:val="CP_Keyword Char"/>
    <w:link w:val="CPKeyword"/>
    <w:rPr>
      <w:rFonts w:ascii="Times New Roman" w:eastAsia="Calibri" w:hAnsi="Times New Roman" w:cs="Times New Roman"/>
      <w:b/>
      <w:bCs/>
      <w:i/>
      <w:iCs/>
      <w:sz w:val="24"/>
      <w:lang w:val="en-GB"/>
    </w:rPr>
  </w:style>
  <w:style w:type="paragraph" w:customStyle="1" w:styleId="CPTABLE">
    <w:name w:val="CP_TABLE"/>
    <w:basedOn w:val="Normal"/>
    <w:qFormat/>
    <w:pPr>
      <w:numPr>
        <w:numId w:val="1"/>
      </w:numPr>
      <w:spacing w:before="240" w:after="120"/>
      <w:ind w:left="850" w:hanging="493"/>
      <w:contextualSpacing/>
      <w:jc w:val="center"/>
    </w:pPr>
    <w:rPr>
      <w:rFonts w:eastAsia="Calibri" w:cs="Calibri"/>
    </w:rPr>
  </w:style>
  <w:style w:type="paragraph" w:customStyle="1" w:styleId="EndNoteBibliography">
    <w:name w:val="EndNote Bibliography"/>
    <w:basedOn w:val="Normal"/>
    <w:link w:val="EndNoteBibliographyChar"/>
    <w:pPr>
      <w:ind w:firstLine="0"/>
      <w:contextualSpacing/>
      <w:jc w:val="both"/>
    </w:pPr>
    <w:rPr>
      <w:rFonts w:eastAsia="Calibri"/>
      <w:szCs w:val="22"/>
    </w:rPr>
  </w:style>
  <w:style w:type="character" w:customStyle="1" w:styleId="EndNoteBibliographyChar">
    <w:name w:val="EndNote Bibliography Char"/>
    <w:link w:val="EndNoteBibliography"/>
    <w:rPr>
      <w:rFonts w:ascii="Times New Roman" w:eastAsia="Calibri" w:hAnsi="Times New Roman" w:cs="Times New Roman"/>
      <w:sz w:val="24"/>
    </w:rPr>
  </w:style>
  <w:style w:type="table" w:customStyle="1" w:styleId="Style60">
    <w:name w:val="_Style 60"/>
    <w:basedOn w:val="TableNormal"/>
    <w:tblPr>
      <w:tblCellMar>
        <w:left w:w="115" w:type="dxa"/>
        <w:right w:w="115" w:type="dxa"/>
      </w:tblCellMar>
    </w:tblPr>
  </w:style>
  <w:style w:type="table" w:customStyle="1" w:styleId="Style61">
    <w:name w:val="_Style 61"/>
    <w:basedOn w:val="TableNormal"/>
    <w:tblPr>
      <w:tblCellMar>
        <w:left w:w="115" w:type="dxa"/>
        <w:right w:w="115" w:type="dxa"/>
      </w:tblCellMar>
    </w:tblPr>
  </w:style>
  <w:style w:type="table" w:customStyle="1" w:styleId="Style62">
    <w:name w:val="_Style 62"/>
    <w:basedOn w:val="TableNormal"/>
    <w:tblPr>
      <w:tblCellMar>
        <w:left w:w="115" w:type="dxa"/>
        <w:right w:w="115" w:type="dxa"/>
      </w:tblCellMar>
    </w:tblPr>
  </w:style>
  <w:style w:type="table" w:customStyle="1" w:styleId="Style63">
    <w:name w:val="_Style 63"/>
    <w:basedOn w:val="TableNormal"/>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hyperlink" Target="mailto:writer@email.ac.id"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x.doi.org/10.21831/cp.v37i1.1878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NASKAH%20JK%20ANWAR%20OKT%202014\jk%20nov%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Sheet1!$B$21</c:f>
              <c:strCache>
                <c:ptCount val="1"/>
                <c:pt idx="0">
                  <c:v>Manual</c:v>
                </c:pt>
              </c:strCache>
            </c:strRef>
          </c:tx>
          <c:spPr>
            <a:pattFill prst="ltVert">
              <a:fgClr>
                <a:schemeClr val="tx1"/>
              </a:fgClr>
              <a:bgClr>
                <a:schemeClr val="bg1"/>
              </a:bgClr>
            </a:pattFill>
            <a:ln>
              <a:solidFill>
                <a:schemeClr val="tx1"/>
              </a:solidFill>
            </a:ln>
          </c:spPr>
          <c:invertIfNegative val="0"/>
          <c:dLbls>
            <c:dLbl>
              <c:idx val="1"/>
              <c:layout>
                <c:manualLayout>
                  <c:x val="2.4999999999999901E-2"/>
                  <c:y val="-2.31481481481481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AC-47CC-AB9A-AB13D8F88A9E}"/>
                </c:ext>
              </c:extLst>
            </c:dLbl>
            <c:spPr>
              <a:noFill/>
              <a:ln>
                <a:noFill/>
              </a:ln>
              <a:effectLst/>
            </c:spPr>
            <c:txPr>
              <a:bodyPr rot="0" spcFirstLastPara="0" vertOverflow="ellipsis" vert="horz" wrap="square" lIns="38100" tIns="19050" rIns="38100" bIns="19050" anchor="ctr" anchorCtr="1">
                <a:spAutoFit/>
              </a:bodyPr>
              <a:lstStyle/>
              <a:p>
                <a:pPr>
                  <a:defRPr lang="en-US" sz="1000" b="1" i="0" u="none" strike="noStrike" kern="1200" baseline="0">
                    <a:ln>
                      <a:noFill/>
                    </a:ln>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Sheet1!$A$22:$A$24</c:f>
              <c:strCache>
                <c:ptCount val="3"/>
                <c:pt idx="0">
                  <c:v>MIA</c:v>
                </c:pt>
                <c:pt idx="1">
                  <c:v>IIS</c:v>
                </c:pt>
                <c:pt idx="2">
                  <c:v>BaBu</c:v>
                </c:pt>
              </c:strCache>
            </c:strRef>
          </c:cat>
          <c:val>
            <c:numRef>
              <c:f>Sheet1!$B$22:$B$24</c:f>
              <c:numCache>
                <c:formatCode>General</c:formatCode>
                <c:ptCount val="3"/>
                <c:pt idx="0">
                  <c:v>35</c:v>
                </c:pt>
                <c:pt idx="1">
                  <c:v>34</c:v>
                </c:pt>
                <c:pt idx="2">
                  <c:v>34</c:v>
                </c:pt>
              </c:numCache>
            </c:numRef>
          </c:val>
          <c:extLst>
            <c:ext xmlns:c16="http://schemas.microsoft.com/office/drawing/2014/chart" uri="{C3380CC4-5D6E-409C-BE32-E72D297353CC}">
              <c16:uniqueId val="{00000001-72AC-47CC-AB9A-AB13D8F88A9E}"/>
            </c:ext>
          </c:extLst>
        </c:ser>
        <c:ser>
          <c:idx val="1"/>
          <c:order val="1"/>
          <c:tx>
            <c:strRef>
              <c:f>Sheet1!$C$21</c:f>
              <c:strCache>
                <c:ptCount val="1"/>
                <c:pt idx="0">
                  <c:v>Sistem</c:v>
                </c:pt>
              </c:strCache>
            </c:strRef>
          </c:tx>
          <c:spPr>
            <a:pattFill prst="horzBrick">
              <a:fgClr>
                <a:schemeClr val="tx1"/>
              </a:fgClr>
              <a:bgClr>
                <a:schemeClr val="bg1"/>
              </a:bgClr>
            </a:pattFill>
            <a:ln>
              <a:solidFill>
                <a:schemeClr val="tx1"/>
              </a:solidFill>
            </a:ln>
          </c:spPr>
          <c:invertIfNegative val="0"/>
          <c:dLbls>
            <c:dLbl>
              <c:idx val="0"/>
              <c:layout>
                <c:manualLayout>
                  <c:x val="1.38888888888889E-2"/>
                  <c:y val="-1.388888888888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AC-47CC-AB9A-AB13D8F88A9E}"/>
                </c:ext>
              </c:extLst>
            </c:dLbl>
            <c:dLbl>
              <c:idx val="1"/>
              <c:layout>
                <c:manualLayout>
                  <c:x val="1.6666666666666601E-2"/>
                  <c:y val="-9.259259259259279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AC-47CC-AB9A-AB13D8F88A9E}"/>
                </c:ext>
              </c:extLst>
            </c:dLbl>
            <c:dLbl>
              <c:idx val="2"/>
              <c:layout>
                <c:manualLayout>
                  <c:x val="1.94444444444444E-2"/>
                  <c:y val="-4.629629629629630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AC-47CC-AB9A-AB13D8F88A9E}"/>
                </c:ext>
              </c:extLst>
            </c:dLbl>
            <c:spPr>
              <a:noFill/>
              <a:ln>
                <a:noFill/>
              </a:ln>
              <a:effectLst/>
            </c:spPr>
            <c:txPr>
              <a:bodyPr rot="0" spcFirstLastPara="0" vertOverflow="ellipsis" vert="horz" wrap="square" lIns="38100" tIns="19050" rIns="38100" bIns="19050" anchor="ctr" anchorCtr="1">
                <a:spAutoFit/>
              </a:bodyPr>
              <a:lstStyle/>
              <a:p>
                <a:pPr>
                  <a:defRPr lang="en-US" sz="1000" b="1" i="0" u="none" strike="noStrike" kern="1200" baseline="0">
                    <a:ln>
                      <a:noFill/>
                    </a:ln>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Sheet1!$A$22:$A$24</c:f>
              <c:strCache>
                <c:ptCount val="3"/>
                <c:pt idx="0">
                  <c:v>MIA</c:v>
                </c:pt>
                <c:pt idx="1">
                  <c:v>IIS</c:v>
                </c:pt>
                <c:pt idx="2">
                  <c:v>BaBu</c:v>
                </c:pt>
              </c:strCache>
            </c:strRef>
          </c:cat>
          <c:val>
            <c:numRef>
              <c:f>Sheet1!$C$22:$C$24</c:f>
              <c:numCache>
                <c:formatCode>General</c:formatCode>
                <c:ptCount val="3"/>
                <c:pt idx="0">
                  <c:v>40</c:v>
                </c:pt>
                <c:pt idx="1">
                  <c:v>31</c:v>
                </c:pt>
                <c:pt idx="2">
                  <c:v>32</c:v>
                </c:pt>
              </c:numCache>
            </c:numRef>
          </c:val>
          <c:extLst>
            <c:ext xmlns:c16="http://schemas.microsoft.com/office/drawing/2014/chart" uri="{C3380CC4-5D6E-409C-BE32-E72D297353CC}">
              <c16:uniqueId val="{00000005-72AC-47CC-AB9A-AB13D8F88A9E}"/>
            </c:ext>
          </c:extLst>
        </c:ser>
        <c:dLbls>
          <c:showLegendKey val="0"/>
          <c:showVal val="0"/>
          <c:showCatName val="0"/>
          <c:showSerName val="0"/>
          <c:showPercent val="0"/>
          <c:showBubbleSize val="0"/>
        </c:dLbls>
        <c:gapWidth val="150"/>
        <c:axId val="8785528"/>
        <c:axId val="8786312"/>
      </c:barChart>
      <c:catAx>
        <c:axId val="878552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ln>
                  <a:noFill/>
                </a:ln>
                <a:solidFill>
                  <a:schemeClr val="tx1"/>
                </a:solidFill>
                <a:latin typeface="+mn-lt"/>
                <a:ea typeface="+mn-ea"/>
                <a:cs typeface="+mn-cs"/>
              </a:defRPr>
            </a:pPr>
            <a:endParaRPr lang="en-US"/>
          </a:p>
        </c:txPr>
        <c:crossAx val="8786312"/>
        <c:crosses val="autoZero"/>
        <c:auto val="1"/>
        <c:lblAlgn val="ctr"/>
        <c:lblOffset val="100"/>
        <c:noMultiLvlLbl val="0"/>
      </c:catAx>
      <c:valAx>
        <c:axId val="87863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ln>
                  <a:noFill/>
                </a:ln>
                <a:solidFill>
                  <a:schemeClr val="tx1"/>
                </a:solidFill>
                <a:latin typeface="+mn-lt"/>
                <a:ea typeface="+mn-ea"/>
                <a:cs typeface="+mn-cs"/>
              </a:defRPr>
            </a:pPr>
            <a:endParaRPr lang="en-US"/>
          </a:p>
        </c:txPr>
        <c:crossAx val="8785528"/>
        <c:crosses val="autoZero"/>
        <c:crossBetween val="between"/>
        <c:majorUnit val="10"/>
      </c:valAx>
      <c:spPr>
        <a:solidFill>
          <a:schemeClr val="bg1"/>
        </a:solidFill>
        <a:ln>
          <a:noFill/>
        </a:ln>
        <a:effectLst/>
      </c:spPr>
    </c:plotArea>
    <c:legend>
      <c:legendPos val="r"/>
      <c:layout>
        <c:manualLayout>
          <c:xMode val="edge"/>
          <c:yMode val="edge"/>
          <c:x val="0.85022331583552102"/>
          <c:y val="0.38850503062117198"/>
          <c:w val="0.13311001749781301"/>
          <c:h val="0.19521216097987801"/>
        </c:manualLayout>
      </c:layout>
      <c:overlay val="0"/>
      <c:spPr>
        <a:noFill/>
      </c:spPr>
      <c:txPr>
        <a:bodyPr rot="0" spcFirstLastPara="0" vertOverflow="ellipsis" vert="horz" wrap="square" anchor="ctr" anchorCtr="1"/>
        <a:lstStyle/>
        <a:p>
          <a:pPr>
            <a:defRPr lang="en-US" sz="1000" b="0" i="0" u="none" strike="noStrike" kern="1200" baseline="0">
              <a:ln>
                <a:noFill/>
              </a:ln>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ed0b8997-0329-482c-9094-b0b440a4fac3}"/>
      </c:ext>
    </c:extLst>
  </c:chart>
  <c:spPr>
    <a:ln w="0" cap="flat" cmpd="sng" algn="ctr">
      <a:noFill/>
      <a:prstDash val="solid"/>
      <a:round/>
    </a:ln>
  </c:spPr>
  <c:txPr>
    <a:bodyPr/>
    <a:lstStyle/>
    <a:p>
      <a:pPr>
        <a:defRPr lang="en-US">
          <a:ln>
            <a:noFill/>
          </a:l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P17TAWuHV1SGvK9IX599LP7x8A==">AMUW2mW7wVVQiqo5COPa0+b5mjCguOKkxiLusWQlb5UAyeHWVk6YkoxUg0uAbWNC9xT+6a+K/BlVczuVauEuHKJhT2krx40cC01UGKP5Q6t1mmyrB6lVRbtUju893+FMFknrwPtgNURVovtPzEmvIWM3UzMkO9QGrQMK85krZNTruxG69Zk/5gndpxuKxYvmfz9hGBx5YclbwbdxWv6VU1dh/MUIRF/aMhkyQoCiuPUyvYtX5Df90j2ruRTARe8RZdASmpGBEtSJtKPOMKPD/d97iQF3qnansupSGF37L7c+nARGELGdXNUnyoGrdk2B9/rCzvn5U3nhkwGskXqIe+0U1AkCLgJOhe65Bpd8B7JbpBpWOe0TSAc2inuWWI28QDZXvB7/+eXBCS/snhhvYmvODohP2KtYweLoITr7bA2D/4aAFnLIPmCLqBS6LeDtN5cH8aRocTXtZ36vbFP3b7yN1bE6zgdFOt0p1jZ7+4oq/x0Y+105h04HI/jXl9UVt1KaKmzxmXBBuj4hw8LQTkbpC9cM2CpgVIB3ggMAHQyZwPXrUlaV3BVjnZXn6y6OjQ67gMx9E3AK</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9851</Characters>
  <Application>Microsoft Office Word</Application>
  <DocSecurity>0</DocSecurity>
  <Lines>82</Lines>
  <Paragraphs>23</Paragraphs>
  <ScaleCrop>false</ScaleCrop>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Bayu Rahmat Setiadi</cp:lastModifiedBy>
  <cp:revision>4</cp:revision>
  <dcterms:created xsi:type="dcterms:W3CDTF">2023-01-24T02:03:00Z</dcterms:created>
  <dcterms:modified xsi:type="dcterms:W3CDTF">2026-06-15T13:01:00Z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eyJoZGlkIjoiYmMyZTBjNWFjYmRmZGRjMmE5YmVlM2JkM2I4OTY3YzQiLCJ1c2VySWQiOiI4ODEzNjk0MTkxMjgwIn0=</vt:lpwstr>
  </property>
  <property fmtid="{D5CDD505-2E9C-101B-9397-08002B2CF9AE}" pid="3" name="KSOProductBuildVer">
    <vt:lpwstr>1033-12.1.0.26372</vt:lpwstr>
  </property>
  <property fmtid="{D5CDD505-2E9C-101B-9397-08002B2CF9AE}" pid="4" name="ICV">
    <vt:lpwstr>F1196DB5359849509324FDF12FF8E383_13</vt:lpwstr>
  </property>
</Properties>
</file>